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84C5" w14:textId="2C71DDA2" w:rsidR="00065F6A" w:rsidRDefault="00065F6A" w:rsidP="004C3B93">
      <w:pPr>
        <w:spacing w:after="0"/>
        <w:jc w:val="center"/>
        <w:rPr>
          <w:b/>
          <w:sz w:val="24"/>
          <w:szCs w:val="24"/>
        </w:rPr>
      </w:pPr>
      <w:r w:rsidRPr="00FD6CAB">
        <w:rPr>
          <w:b/>
          <w:sz w:val="24"/>
          <w:szCs w:val="24"/>
        </w:rPr>
        <w:t>“Building technical and institutional capacity in the water sector in Montenegro to facilitate inclusive climate resilience initiatives” (</w:t>
      </w:r>
      <w:r w:rsidR="009169C2" w:rsidRPr="00FD6CAB">
        <w:rPr>
          <w:b/>
          <w:sz w:val="24"/>
          <w:szCs w:val="24"/>
        </w:rPr>
        <w:t xml:space="preserve">MNE </w:t>
      </w:r>
      <w:r w:rsidRPr="00FD6CAB">
        <w:rPr>
          <w:b/>
          <w:sz w:val="24"/>
          <w:szCs w:val="24"/>
        </w:rPr>
        <w:t>GCF Water Readiness project)</w:t>
      </w:r>
    </w:p>
    <w:p w14:paraId="2750602D" w14:textId="77777777" w:rsidR="004C3B93" w:rsidRPr="00FD6CAB" w:rsidRDefault="004C3B93" w:rsidP="004C3B93">
      <w:pPr>
        <w:spacing w:after="0"/>
        <w:jc w:val="center"/>
        <w:rPr>
          <w:b/>
          <w:sz w:val="24"/>
          <w:szCs w:val="24"/>
        </w:rPr>
      </w:pPr>
    </w:p>
    <w:p w14:paraId="472F2F0B" w14:textId="2AB6D807" w:rsidR="00065F6A" w:rsidRPr="00A91FCB" w:rsidRDefault="00FD6CAB" w:rsidP="004C3B93">
      <w:pPr>
        <w:pStyle w:val="Heading1"/>
        <w:spacing w:before="0"/>
        <w:jc w:val="center"/>
        <w:rPr>
          <w:sz w:val="32"/>
          <w:szCs w:val="32"/>
        </w:rPr>
      </w:pPr>
      <w:r w:rsidRPr="00A91FCB">
        <w:rPr>
          <w:sz w:val="32"/>
          <w:szCs w:val="32"/>
        </w:rPr>
        <w:t>PROJECT INFO SHEET</w:t>
      </w:r>
    </w:p>
    <w:p w14:paraId="5F3270D0" w14:textId="10A02562" w:rsidR="00FD6CAB" w:rsidRDefault="008C70EA" w:rsidP="004C3B93">
      <w:pPr>
        <w:shd w:val="clear" w:color="auto" w:fill="FFFFFF"/>
        <w:spacing w:after="0"/>
        <w:jc w:val="center"/>
        <w:textAlignment w:val="baseline"/>
        <w:rPr>
          <w:rFonts w:ascii="Calibri" w:hAnsi="Calibri" w:cs="Calibri"/>
          <w:color w:val="000000"/>
        </w:rPr>
      </w:pPr>
      <w:r>
        <w:rPr>
          <w:b/>
          <w:sz w:val="28"/>
        </w:rPr>
        <w:br/>
      </w:r>
    </w:p>
    <w:p w14:paraId="7DDAA46D" w14:textId="09612ACB" w:rsidR="3430656E" w:rsidRDefault="3430656E" w:rsidP="004C3B93">
      <w:pPr>
        <w:pStyle w:val="Heading1"/>
        <w:spacing w:before="0"/>
      </w:pPr>
      <w:r>
        <w:t>Background</w:t>
      </w:r>
      <w:r w:rsidR="00FD6CAB">
        <w:t xml:space="preserve"> and context</w:t>
      </w:r>
    </w:p>
    <w:p w14:paraId="6FB35275" w14:textId="77777777" w:rsidR="00A91FCB" w:rsidRPr="00A91FCB" w:rsidRDefault="00A91FCB" w:rsidP="004C3B93">
      <w:pPr>
        <w:spacing w:after="0"/>
      </w:pPr>
    </w:p>
    <w:p w14:paraId="29FB7D43" w14:textId="06290111" w:rsidR="00935127" w:rsidRPr="00935127" w:rsidRDefault="00935127" w:rsidP="004C3B93">
      <w:pPr>
        <w:spacing w:after="0"/>
        <w:jc w:val="both"/>
      </w:pPr>
      <w:r w:rsidRPr="00935127">
        <w:t xml:space="preserve">Montenegro is increasingly exposed to the impacts of climate change, the vast majority of which are water-related. Changes in temperature and precipitation patterns are already disrupting hydrological cycles, leading to more frequent and severe droughts, water shortages, and seasonal stress on agriculture, energy systems, and public water supply. These impacts directly affect </w:t>
      </w:r>
      <w:r w:rsidR="00065F6A">
        <w:t xml:space="preserve">not only the water sector but also other </w:t>
      </w:r>
      <w:r w:rsidRPr="00935127">
        <w:t>key economic sectors such as tourism, hydropower, and agribusiness — putting long-term development at risk.</w:t>
      </w:r>
    </w:p>
    <w:p w14:paraId="30014F94" w14:textId="7D2D7C4E" w:rsidR="00935127" w:rsidRPr="00935127" w:rsidRDefault="00935127" w:rsidP="004C3B93">
      <w:pPr>
        <w:spacing w:after="0"/>
        <w:jc w:val="both"/>
      </w:pPr>
      <w:r w:rsidRPr="00935127">
        <w:t>Yet, despite water being the primary vector through which climate change manifests in Montenegro, the sector remains largely absent from national climate policy frameworks. Existing climate</w:t>
      </w:r>
      <w:r w:rsidR="00CA2235">
        <w:t xml:space="preserve"> change</w:t>
      </w:r>
      <w:r w:rsidRPr="00935127">
        <w:t xml:space="preserve"> strategies are heavily mitigation-focused, with minimal attention to water-related adaptation needs. </w:t>
      </w:r>
      <w:r w:rsidR="003B139F">
        <w:t>O</w:t>
      </w:r>
      <w:r w:rsidR="008A135C">
        <w:t>n the other hand</w:t>
      </w:r>
      <w:r w:rsidRPr="00935127">
        <w:t>, water sector policies and plans rarely incorporate climate risk considerations, resulting in fragmented planning and limited institutional readiness for climate-resilient water management.</w:t>
      </w:r>
    </w:p>
    <w:p w14:paraId="3D56AB3F" w14:textId="5506C5AE" w:rsidR="00935127" w:rsidRPr="00935127" w:rsidRDefault="00935127" w:rsidP="004C3B93">
      <w:pPr>
        <w:spacing w:after="0"/>
        <w:jc w:val="both"/>
      </w:pPr>
      <w:r w:rsidRPr="00935127">
        <w:t xml:space="preserve">This disconnect is further compounded by a critical lack of financing for adaptation — both domestic and international. Access to global climate finance mechanisms remains limited, and there is no dedicated platform or coordinated effort to develop water-related climate investment pipelines. While </w:t>
      </w:r>
      <w:r w:rsidR="00905234">
        <w:t>Montenegro’s</w:t>
      </w:r>
      <w:r w:rsidR="00065F6A">
        <w:t xml:space="preserve"> National Adaptation </w:t>
      </w:r>
      <w:r w:rsidR="009169C2">
        <w:t xml:space="preserve">Plan </w:t>
      </w:r>
      <w:r w:rsidR="009169C2" w:rsidRPr="00935127">
        <w:t>identifies</w:t>
      </w:r>
      <w:r w:rsidRPr="00935127">
        <w:t xml:space="preserve"> water as a priority sector, it currently includes only one loosely formulated adaptation concept.</w:t>
      </w:r>
    </w:p>
    <w:p w14:paraId="5CFA6C84" w14:textId="4894F2E2" w:rsidR="006343AA" w:rsidRPr="00935127" w:rsidRDefault="006343AA" w:rsidP="004C3B93">
      <w:pPr>
        <w:spacing w:after="0"/>
        <w:jc w:val="both"/>
      </w:pPr>
      <w:r>
        <w:t>The Green Climate Fund</w:t>
      </w:r>
      <w:r w:rsidR="00BB7946">
        <w:t xml:space="preserve"> (GCF)</w:t>
      </w:r>
      <w:r>
        <w:t xml:space="preserve">, a financing mechanism of the 2015 Paris Agreement and the world’s largest fund dedicated to </w:t>
      </w:r>
      <w:r w:rsidR="00AC3F03">
        <w:t>financing</w:t>
      </w:r>
      <w:r>
        <w:t xml:space="preserve"> </w:t>
      </w:r>
      <w:r w:rsidR="00742C91">
        <w:t>climate change mitigation and adaptation projects</w:t>
      </w:r>
      <w:r w:rsidR="00AC3F03">
        <w:t xml:space="preserve">, presents </w:t>
      </w:r>
      <w:r w:rsidR="00B3146D">
        <w:t>a unique opportunity</w:t>
      </w:r>
      <w:r w:rsidR="00B4505C">
        <w:t xml:space="preserve"> for Montenegro </w:t>
      </w:r>
      <w:r w:rsidR="00682680">
        <w:t xml:space="preserve">to </w:t>
      </w:r>
      <w:r w:rsidR="0060213C">
        <w:t>address it water and climate resilience needs.</w:t>
      </w:r>
      <w:r w:rsidR="00682680">
        <w:t xml:space="preserve"> </w:t>
      </w:r>
    </w:p>
    <w:p w14:paraId="10A0EC5E" w14:textId="5CCC5AF1" w:rsidR="00DC33EC" w:rsidRDefault="00DC33EC" w:rsidP="004C3B93">
      <w:pPr>
        <w:spacing w:after="0"/>
        <w:jc w:val="both"/>
      </w:pPr>
      <w:r w:rsidRPr="00DC33EC">
        <w:t xml:space="preserve">Barriers </w:t>
      </w:r>
      <w:r w:rsidR="00B423D1">
        <w:t xml:space="preserve">to accessing Green Climate Fund investment </w:t>
      </w:r>
      <w:r w:rsidR="00513318">
        <w:t>for water and climate resilience</w:t>
      </w:r>
      <w:r w:rsidR="00BB7946">
        <w:t xml:space="preserve">, </w:t>
      </w:r>
      <w:r w:rsidRPr="00DC33EC">
        <w:t>identified through baseline assessments include:</w:t>
      </w:r>
    </w:p>
    <w:p w14:paraId="26C9B65B" w14:textId="77777777" w:rsidR="004C3B93" w:rsidRPr="00DC33EC" w:rsidRDefault="004C3B93" w:rsidP="004C3B93">
      <w:pPr>
        <w:spacing w:after="0"/>
        <w:jc w:val="both"/>
      </w:pPr>
    </w:p>
    <w:p w14:paraId="08988015" w14:textId="77777777" w:rsidR="00DC33EC" w:rsidRPr="00DC33EC" w:rsidRDefault="00DC33EC" w:rsidP="004C3B93">
      <w:pPr>
        <w:numPr>
          <w:ilvl w:val="0"/>
          <w:numId w:val="10"/>
        </w:numPr>
        <w:spacing w:after="0"/>
        <w:jc w:val="both"/>
      </w:pPr>
      <w:r w:rsidRPr="00DC33EC">
        <w:rPr>
          <w:b/>
          <w:bCs/>
        </w:rPr>
        <w:t>Limited knowledge of GCF and climate finance procedures</w:t>
      </w:r>
      <w:r w:rsidRPr="00DC33EC">
        <w:t>.</w:t>
      </w:r>
    </w:p>
    <w:p w14:paraId="5D76665E" w14:textId="77777777" w:rsidR="00DC33EC" w:rsidRPr="00DC33EC" w:rsidRDefault="00DC33EC" w:rsidP="004C3B93">
      <w:pPr>
        <w:numPr>
          <w:ilvl w:val="0"/>
          <w:numId w:val="10"/>
        </w:numPr>
        <w:spacing w:after="0"/>
        <w:jc w:val="both"/>
      </w:pPr>
      <w:r w:rsidRPr="00DC33EC">
        <w:rPr>
          <w:b/>
          <w:bCs/>
        </w:rPr>
        <w:t>Insufficient analytical tools and data</w:t>
      </w:r>
      <w:r w:rsidRPr="00DC33EC">
        <w:t xml:space="preserve"> to identify and quantify climate impacts on water systems.</w:t>
      </w:r>
    </w:p>
    <w:p w14:paraId="2241FB98" w14:textId="42DC93D2" w:rsidR="00DC33EC" w:rsidRPr="00DC33EC" w:rsidRDefault="00DC33EC" w:rsidP="004C3B93">
      <w:pPr>
        <w:numPr>
          <w:ilvl w:val="0"/>
          <w:numId w:val="10"/>
        </w:numPr>
        <w:spacing w:after="0"/>
        <w:jc w:val="both"/>
      </w:pPr>
      <w:r w:rsidRPr="00DC33EC">
        <w:rPr>
          <w:b/>
          <w:bCs/>
        </w:rPr>
        <w:t>Low private sector engagement</w:t>
      </w:r>
      <w:r w:rsidRPr="00DC33EC">
        <w:t xml:space="preserve">, especially in climate-sensitive sectors like </w:t>
      </w:r>
      <w:r w:rsidR="009169C2">
        <w:t>energy production</w:t>
      </w:r>
      <w:r w:rsidRPr="00DC33EC">
        <w:t xml:space="preserve"> and irrigation.</w:t>
      </w:r>
    </w:p>
    <w:p w14:paraId="585DA8B8" w14:textId="77777777" w:rsidR="00DC33EC" w:rsidRPr="00DC33EC" w:rsidRDefault="00DC33EC" w:rsidP="004C3B93">
      <w:pPr>
        <w:numPr>
          <w:ilvl w:val="0"/>
          <w:numId w:val="10"/>
        </w:numPr>
        <w:spacing w:after="0"/>
        <w:jc w:val="both"/>
      </w:pPr>
      <w:r w:rsidRPr="00DC33EC">
        <w:rPr>
          <w:b/>
          <w:bCs/>
        </w:rPr>
        <w:t>Lack of integration between public agencies</w:t>
      </w:r>
      <w:r w:rsidRPr="00DC33EC">
        <w:t>, NGOs, and community stakeholders in climate planning.</w:t>
      </w:r>
    </w:p>
    <w:p w14:paraId="1C1E8505" w14:textId="77777777" w:rsidR="00DC33EC" w:rsidRPr="00DC33EC" w:rsidRDefault="00DC33EC" w:rsidP="004C3B93">
      <w:pPr>
        <w:numPr>
          <w:ilvl w:val="0"/>
          <w:numId w:val="10"/>
        </w:numPr>
        <w:spacing w:after="0"/>
        <w:jc w:val="both"/>
      </w:pPr>
      <w:r w:rsidRPr="00DC33EC">
        <w:rPr>
          <w:b/>
          <w:bCs/>
        </w:rPr>
        <w:t>No consolidated methodology</w:t>
      </w:r>
      <w:r w:rsidRPr="00DC33EC">
        <w:t xml:space="preserve"> to screen or prioritize water-sector investments for adaptation value.</w:t>
      </w:r>
    </w:p>
    <w:p w14:paraId="1DEA4924" w14:textId="57C35E1F" w:rsidR="00DC33EC" w:rsidRDefault="00DC33EC" w:rsidP="004C3B93">
      <w:pPr>
        <w:spacing w:after="0"/>
        <w:jc w:val="both"/>
      </w:pPr>
      <w:r w:rsidRPr="00DC33EC">
        <w:lastRenderedPageBreak/>
        <w:t xml:space="preserve">To address these barriers, </w:t>
      </w:r>
      <w:r w:rsidR="009169C2">
        <w:t xml:space="preserve">in 2024 </w:t>
      </w:r>
      <w:r w:rsidRPr="00DC33EC">
        <w:t xml:space="preserve">the </w:t>
      </w:r>
      <w:r w:rsidR="009169C2">
        <w:t xml:space="preserve">MNE </w:t>
      </w:r>
      <w:r w:rsidRPr="00DC33EC">
        <w:t xml:space="preserve">GCF </w:t>
      </w:r>
      <w:r w:rsidR="00065F6A">
        <w:t xml:space="preserve">Water </w:t>
      </w:r>
      <w:r w:rsidRPr="00DC33EC">
        <w:t xml:space="preserve">Readiness </w:t>
      </w:r>
      <w:r w:rsidR="009169C2">
        <w:t xml:space="preserve">project </w:t>
      </w:r>
      <w:r w:rsidR="009169C2" w:rsidRPr="00DC33EC">
        <w:t>was</w:t>
      </w:r>
      <w:r w:rsidRPr="00DC33EC">
        <w:t xml:space="preserve"> launched, titled:</w:t>
      </w:r>
      <w:r w:rsidR="001856F5" w:rsidRPr="001856F5">
        <w:t xml:space="preserve"> </w:t>
      </w:r>
      <w:r w:rsidR="001856F5">
        <w:t>“</w:t>
      </w:r>
      <w:r w:rsidR="001856F5" w:rsidRPr="009169C2">
        <w:rPr>
          <w:i/>
          <w:iCs/>
        </w:rPr>
        <w:t>Building technical and institutional capacity in the water sector in Montenegro to facilitate inclusive climate resilience initiatives”</w:t>
      </w:r>
      <w:r w:rsidR="009169C2">
        <w:t xml:space="preserve"> </w:t>
      </w:r>
    </w:p>
    <w:p w14:paraId="076AEF7A" w14:textId="77777777" w:rsidR="004C3B93" w:rsidRDefault="004C3B93" w:rsidP="004C3B93">
      <w:pPr>
        <w:pStyle w:val="Heading1"/>
        <w:spacing w:before="0"/>
      </w:pPr>
    </w:p>
    <w:p w14:paraId="664293E1" w14:textId="23657CA1" w:rsidR="009169C2" w:rsidRDefault="008C70EA" w:rsidP="004C3B93">
      <w:pPr>
        <w:pStyle w:val="Heading1"/>
        <w:spacing w:before="0"/>
      </w:pPr>
      <w:r>
        <w:t>Project Description</w:t>
      </w:r>
      <w:r w:rsidR="002A2A6D">
        <w:t xml:space="preserve"> (MNE GCF Readiness project)</w:t>
      </w:r>
    </w:p>
    <w:p w14:paraId="6D356C7F" w14:textId="77777777" w:rsidR="004C3B93" w:rsidRDefault="004C3B93" w:rsidP="004C3B93">
      <w:pPr>
        <w:spacing w:after="0"/>
        <w:jc w:val="both"/>
      </w:pPr>
    </w:p>
    <w:p w14:paraId="6F0AD693" w14:textId="7E356096" w:rsidR="00D00DD7" w:rsidRDefault="00D00DD7" w:rsidP="004C3B93">
      <w:pPr>
        <w:spacing w:after="0"/>
        <w:jc w:val="both"/>
      </w:pPr>
      <w:r w:rsidRPr="009169C2">
        <w:t>The project titled "</w:t>
      </w:r>
      <w:r w:rsidRPr="009169C2">
        <w:rPr>
          <w:i/>
          <w:iCs/>
        </w:rPr>
        <w:t>Building Technical and Institutional Capacity in the Water Sector in Montenegro to Facilitate Inclusive Climate Resilience Initiatives</w:t>
      </w:r>
      <w:r w:rsidRPr="009169C2">
        <w:t xml:space="preserve">" is a 24-month Readiness initiative (2024-2026) aimed at strengthening Montenegro's capacity to respond to climate change in the water sector. The project is financed by the Green Climate Fund (GCF), executed by the Global Water Partnership (GWP), and implemented by the Global Water Partnership Mediterranean (GWP-Med) and the Government of Montenegro. With a budget of approximately </w:t>
      </w:r>
      <w:r w:rsidR="002A2A6D">
        <w:t>797</w:t>
      </w:r>
      <w:r w:rsidRPr="009169C2">
        <w:t>,000 USD, this initiative focuses on the Adriatic watershed in Montenegro and seeks to achieve the following objectives:</w:t>
      </w:r>
    </w:p>
    <w:p w14:paraId="60C76722" w14:textId="77777777" w:rsidR="004C3B93" w:rsidRPr="009169C2" w:rsidRDefault="004C3B93" w:rsidP="004C3B93">
      <w:pPr>
        <w:spacing w:after="0"/>
        <w:jc w:val="both"/>
      </w:pPr>
    </w:p>
    <w:p w14:paraId="0DD6C1C9" w14:textId="77777777" w:rsidR="00D00DD7" w:rsidRPr="009169C2" w:rsidRDefault="00D00DD7" w:rsidP="004C3B93">
      <w:pPr>
        <w:numPr>
          <w:ilvl w:val="0"/>
          <w:numId w:val="17"/>
        </w:numPr>
        <w:spacing w:after="0"/>
        <w:jc w:val="both"/>
      </w:pPr>
      <w:r w:rsidRPr="002A2A6D">
        <w:rPr>
          <w:b/>
          <w:bCs/>
        </w:rPr>
        <w:t>Strengthen Institutional Capacity</w:t>
      </w:r>
      <w:r w:rsidRPr="009169C2">
        <w:t>: Enhance the understanding and response capabilities of key public and private sector actors in the water sector, ensuring they can effectively address climate change challenges.</w:t>
      </w:r>
    </w:p>
    <w:p w14:paraId="02D50395" w14:textId="20FD5CED" w:rsidR="00D00DD7" w:rsidRPr="009169C2" w:rsidRDefault="00D00DD7" w:rsidP="004C3B93">
      <w:pPr>
        <w:numPr>
          <w:ilvl w:val="0"/>
          <w:numId w:val="17"/>
        </w:numPr>
        <w:spacing w:after="0"/>
        <w:jc w:val="both"/>
      </w:pPr>
      <w:r w:rsidRPr="002A2A6D">
        <w:rPr>
          <w:b/>
          <w:bCs/>
        </w:rPr>
        <w:t>Develop Adaptation-Focused Investment Opportunities</w:t>
      </w:r>
      <w:r w:rsidRPr="009169C2">
        <w:t xml:space="preserve">: Create a pipeline of investment opportunities focused on climate adaptation, including at least one GCF Concept Note and a full Climate-Resilient Water Investment Plan. These </w:t>
      </w:r>
      <w:r w:rsidR="00D468CB">
        <w:t xml:space="preserve">steps will translate Montenegro’s </w:t>
      </w:r>
      <w:r w:rsidR="004943E4">
        <w:t xml:space="preserve">already identified </w:t>
      </w:r>
      <w:r w:rsidR="00D468CB">
        <w:t>water and climate resilience priorities</w:t>
      </w:r>
      <w:r w:rsidR="004943E4">
        <w:t xml:space="preserve"> towards bankable projects that can </w:t>
      </w:r>
      <w:r w:rsidRPr="009169C2">
        <w:t xml:space="preserve">attract </w:t>
      </w:r>
      <w:r w:rsidR="004943E4">
        <w:t xml:space="preserve">needed financing. </w:t>
      </w:r>
    </w:p>
    <w:p w14:paraId="40F70A26" w14:textId="2EBFA23B" w:rsidR="00D00DD7" w:rsidRPr="009169C2" w:rsidRDefault="00D00DD7" w:rsidP="004C3B93">
      <w:pPr>
        <w:numPr>
          <w:ilvl w:val="0"/>
          <w:numId w:val="17"/>
        </w:numPr>
        <w:spacing w:after="0"/>
        <w:jc w:val="both"/>
      </w:pPr>
      <w:r w:rsidRPr="002A2A6D">
        <w:rPr>
          <w:b/>
          <w:bCs/>
        </w:rPr>
        <w:t>Establish a Water and Climate Resilience Working Group</w:t>
      </w:r>
      <w:r w:rsidRPr="009169C2">
        <w:t>: Set up a working group integrated with the National Designated Authority (NDA) to facilitate continuous, inclusive stakeholder engagement throughout the project</w:t>
      </w:r>
      <w:r w:rsidR="002A2A6D">
        <w:t xml:space="preserve"> and beyond</w:t>
      </w:r>
      <w:r w:rsidRPr="009169C2">
        <w:t>. This group will play a crucial role in aligning efforts across sectors and ensuring all relevant actors are</w:t>
      </w:r>
      <w:r w:rsidR="002A2A6D">
        <w:t xml:space="preserve"> informed and </w:t>
      </w:r>
      <w:r w:rsidR="002A2A6D" w:rsidRPr="009169C2">
        <w:t>involved</w:t>
      </w:r>
      <w:r w:rsidRPr="009169C2">
        <w:t xml:space="preserve"> in decision-making</w:t>
      </w:r>
      <w:r w:rsidR="002A2A6D">
        <w:t xml:space="preserve"> towards water climate change resilient projects</w:t>
      </w:r>
      <w:r w:rsidRPr="009169C2">
        <w:t>.</w:t>
      </w:r>
    </w:p>
    <w:p w14:paraId="56EA8677" w14:textId="3E39AE77" w:rsidR="004C3B93" w:rsidRDefault="00D00DD7" w:rsidP="004C3B93">
      <w:pPr>
        <w:numPr>
          <w:ilvl w:val="0"/>
          <w:numId w:val="17"/>
        </w:numPr>
        <w:spacing w:after="0"/>
        <w:jc w:val="both"/>
      </w:pPr>
      <w:r w:rsidRPr="002A2A6D">
        <w:rPr>
          <w:b/>
          <w:bCs/>
        </w:rPr>
        <w:t>Create an Online Knowledge-Sharing Platform</w:t>
      </w:r>
      <w:r w:rsidRPr="009169C2">
        <w:t>: Develop a platform to capture and disseminate lessons, tools, and best practices gained throughout the project. This platform will serve as a resource hub for stakeholders, enabling them to access relevant knowledge and apply it to future climate resilience efforts in the water sector.</w:t>
      </w:r>
    </w:p>
    <w:p w14:paraId="45E6D09D" w14:textId="77777777" w:rsidR="006E13A4" w:rsidRDefault="006E13A4" w:rsidP="006E13A4">
      <w:pPr>
        <w:spacing w:after="0"/>
        <w:ind w:left="720"/>
        <w:jc w:val="both"/>
      </w:pPr>
    </w:p>
    <w:p w14:paraId="067D66B4" w14:textId="42DDF884" w:rsidR="00FD6CAB" w:rsidRDefault="00A91FCB" w:rsidP="006E13A4">
      <w:pPr>
        <w:pStyle w:val="Heading1"/>
        <w:spacing w:before="0"/>
      </w:pPr>
      <w:r w:rsidRPr="00A91FCB">
        <w:t>Who we are?</w:t>
      </w:r>
    </w:p>
    <w:p w14:paraId="5893C5DB" w14:textId="77777777" w:rsidR="006E13A4" w:rsidRPr="006E13A4" w:rsidRDefault="006E13A4" w:rsidP="006E13A4">
      <w:pPr>
        <w:spacing w:after="0"/>
      </w:pPr>
    </w:p>
    <w:p w14:paraId="1696F119" w14:textId="4AD239E9" w:rsidR="00356910" w:rsidRDefault="00FB1794" w:rsidP="006E13A4">
      <w:pPr>
        <w:spacing w:after="0"/>
        <w:jc w:val="both"/>
      </w:pPr>
      <w:hyperlink r:id="rId11" w:history="1">
        <w:r>
          <w:rPr>
            <w:rStyle w:val="Hyperlink"/>
          </w:rPr>
          <w:t>Global Water Partnership - GWP</w:t>
        </w:r>
      </w:hyperlink>
      <w:r w:rsidR="00356910">
        <w:t xml:space="preserve"> is an intergovernmental, non-profit organization present in 179 countries, dedicated to promoting sustainable and equitable management of water resources. Our regional </w:t>
      </w:r>
      <w:r w:rsidR="006E13A4">
        <w:t xml:space="preserve">office for </w:t>
      </w:r>
      <w:hyperlink r:id="rId12" w:history="1">
        <w:r w:rsidR="006E13A4">
          <w:rPr>
            <w:rStyle w:val="Hyperlink"/>
          </w:rPr>
          <w:t>GWP Mediterranean - GWP</w:t>
        </w:r>
      </w:hyperlink>
      <w:r w:rsidR="006E13A4">
        <w:t xml:space="preserve"> </w:t>
      </w:r>
      <w:r w:rsidR="00356910">
        <w:t>is based in Athens, while our local office in Montenegro has been active for more than a decade.</w:t>
      </w:r>
    </w:p>
    <w:p w14:paraId="37AC03D4" w14:textId="77777777" w:rsidR="00356910" w:rsidRDefault="00356910" w:rsidP="006E13A4">
      <w:pPr>
        <w:spacing w:after="0"/>
        <w:jc w:val="both"/>
      </w:pPr>
    </w:p>
    <w:p w14:paraId="0BEB5AEC" w14:textId="5AA85A25" w:rsidR="00356910" w:rsidRDefault="00356910" w:rsidP="006E13A4">
      <w:pPr>
        <w:spacing w:after="0"/>
        <w:jc w:val="both"/>
      </w:pPr>
      <w:r>
        <w:lastRenderedPageBreak/>
        <w:t>During this time, in partnership with Montenegrin institutions and with the support of international financial organizations, we have implemented numerous initiatives across Montenegro, contributing to improved water governance and sector resilience. Our portfolio includes legislative and strategic activities, as well as practical field initiatives such as pilot projects, innovative water supply solutions, smart agriculture, education, and training.</w:t>
      </w:r>
    </w:p>
    <w:p w14:paraId="2D1FADBC" w14:textId="35DA1DE0" w:rsidR="004C3B93" w:rsidRDefault="00356910" w:rsidP="006E13A4">
      <w:pPr>
        <w:spacing w:after="0"/>
        <w:jc w:val="both"/>
      </w:pPr>
      <w:r>
        <w:t>The project “Building technical and institutional capacity in the water sector in Montenegro to facilitate inclusive climate resilience initiatives” is being implemented in cooperation with the Ministry of Agriculture, Forestry and Water Management and the GCF National Designated Authority (NDA) within the Ministry of Ecology, Sustainable Development and Northern Region Development.</w:t>
      </w:r>
    </w:p>
    <w:p w14:paraId="0BB8F5F1" w14:textId="77777777" w:rsidR="006E13A4" w:rsidRPr="006E13A4" w:rsidRDefault="006E13A4" w:rsidP="006E13A4">
      <w:pPr>
        <w:spacing w:after="0"/>
        <w:jc w:val="both"/>
      </w:pPr>
    </w:p>
    <w:p w14:paraId="4C8E6142" w14:textId="77DB7299" w:rsidR="004C3B93" w:rsidRDefault="004C3B93" w:rsidP="004C3B93">
      <w:pPr>
        <w:pStyle w:val="Heading1"/>
        <w:spacing w:before="0"/>
        <w:rPr>
          <w:sz w:val="22"/>
          <w:szCs w:val="22"/>
        </w:rPr>
      </w:pPr>
      <w:r>
        <w:t xml:space="preserve">Visit our </w:t>
      </w:r>
      <w:r w:rsidRPr="004C3B93">
        <w:t>GCF Montenegro Water &amp; Climate Knowledge Hub</w:t>
      </w:r>
    </w:p>
    <w:p w14:paraId="2B144F83" w14:textId="578661E4" w:rsidR="00A91FCB" w:rsidRDefault="00A91FCB" w:rsidP="004C3B93">
      <w:pPr>
        <w:shd w:val="clear" w:color="auto" w:fill="FFFFFF"/>
        <w:spacing w:after="0"/>
        <w:textAlignment w:val="baseline"/>
        <w:rPr>
          <w:rFonts w:ascii="Calibri" w:hAnsi="Calibri" w:cs="Calibri"/>
          <w:color w:val="000000"/>
        </w:rPr>
      </w:pPr>
    </w:p>
    <w:p w14:paraId="2FA56FF3" w14:textId="77777777" w:rsidR="00AE495E" w:rsidRDefault="00AE495E" w:rsidP="00AE495E">
      <w:pPr>
        <w:spacing w:after="0"/>
        <w:jc w:val="both"/>
      </w:pPr>
      <w:r>
        <w:t>The GCF Montenegro Water &amp; Climate Knowledge Hub is a collaborative space for learning, sharing, and connecting around climate-resilient water management in Montenegro. Established under the GCF Readiness project “Building technical and institutional capacity in the water sector in Montenegro to facilitate inclusive climate resilience initiatives,” the platform combines a knowledge hub and a community of practice.</w:t>
      </w:r>
    </w:p>
    <w:p w14:paraId="78C48BB9" w14:textId="77777777" w:rsidR="00AE495E" w:rsidRDefault="00AE495E" w:rsidP="00AE495E">
      <w:pPr>
        <w:spacing w:after="0"/>
        <w:jc w:val="both"/>
      </w:pPr>
    </w:p>
    <w:p w14:paraId="27313F3B" w14:textId="7B79B0E4" w:rsidR="00AE495E" w:rsidRDefault="00AE495E" w:rsidP="00AE495E">
      <w:pPr>
        <w:spacing w:after="0"/>
        <w:jc w:val="both"/>
      </w:pPr>
      <w:r>
        <w:t>By bringing together public institutions, private sector actors, researchers, and civil society, the platform strengthens national capacity to plan, finance, and implement water and climate adaptation projects. It serves as a living repository of knowledge — hosting tools, training materials, policy guidance, and case studies — while also fostering active dialogue and collaboration across sectors.</w:t>
      </w:r>
    </w:p>
    <w:p w14:paraId="06840DB2" w14:textId="76AEA88D" w:rsidR="00AE495E" w:rsidRDefault="00AE495E" w:rsidP="00AE495E">
      <w:pPr>
        <w:spacing w:after="0"/>
        <w:jc w:val="both"/>
      </w:pPr>
    </w:p>
    <w:p w14:paraId="258528C1" w14:textId="5CB88973" w:rsidR="00AE495E" w:rsidRDefault="00A70E64" w:rsidP="00AE495E">
      <w:pPr>
        <w:spacing w:after="0"/>
        <w:jc w:val="both"/>
      </w:pPr>
      <w:r>
        <w:t>We are inviting you</w:t>
      </w:r>
      <w:r w:rsidR="00AE495E">
        <w:t xml:space="preserve"> to visit our </w:t>
      </w:r>
      <w:r w:rsidR="00AE495E" w:rsidRPr="00AE495E">
        <w:t>GCF Montenegro Water &amp; Climate Knowledge Hub</w:t>
      </w:r>
      <w:r w:rsidR="00AE495E">
        <w:t xml:space="preserve"> with the following link </w:t>
      </w:r>
      <w:hyperlink r:id="rId13" w:history="1">
        <w:r w:rsidR="00356910">
          <w:rPr>
            <w:rStyle w:val="Hyperlink"/>
          </w:rPr>
          <w:t>GCF Montenegro Water &amp; Climate Knowledge Hub</w:t>
        </w:r>
      </w:hyperlink>
    </w:p>
    <w:p w14:paraId="27537A33" w14:textId="77777777" w:rsidR="00AE495E" w:rsidRDefault="00AE495E" w:rsidP="00AE495E">
      <w:pPr>
        <w:spacing w:after="0"/>
      </w:pPr>
      <w:r>
        <w:t xml:space="preserve"> </w:t>
      </w:r>
    </w:p>
    <w:p w14:paraId="0F0EB2BC" w14:textId="50D0F5FC" w:rsidR="00A91FCB" w:rsidRDefault="00A91FCB" w:rsidP="00AE495E">
      <w:pPr>
        <w:spacing w:after="0"/>
      </w:pPr>
    </w:p>
    <w:sectPr w:rsidR="00A91FCB" w:rsidSect="00034616">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9F99" w14:textId="77777777" w:rsidR="002E0F94" w:rsidRDefault="002E0F94">
      <w:pPr>
        <w:spacing w:after="0" w:line="240" w:lineRule="auto"/>
      </w:pPr>
      <w:r>
        <w:separator/>
      </w:r>
    </w:p>
  </w:endnote>
  <w:endnote w:type="continuationSeparator" w:id="0">
    <w:p w14:paraId="2427022B" w14:textId="77777777" w:rsidR="002E0F94" w:rsidRDefault="002E0F94">
      <w:pPr>
        <w:spacing w:after="0" w:line="240" w:lineRule="auto"/>
      </w:pPr>
      <w:r>
        <w:continuationSeparator/>
      </w:r>
    </w:p>
  </w:endnote>
  <w:endnote w:type="continuationNotice" w:id="1">
    <w:p w14:paraId="7B2C73BC" w14:textId="77777777" w:rsidR="002E0F94" w:rsidRDefault="002E0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CE74" w14:textId="77777777" w:rsidR="00327807" w:rsidRDefault="00327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3DA6" w14:textId="77777777" w:rsidR="00327807" w:rsidRDefault="00327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A461" w14:textId="77777777" w:rsidR="00327807" w:rsidRDefault="00327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A512" w14:textId="77777777" w:rsidR="002E0F94" w:rsidRDefault="002E0F94">
      <w:pPr>
        <w:spacing w:after="0" w:line="240" w:lineRule="auto"/>
      </w:pPr>
      <w:r>
        <w:separator/>
      </w:r>
    </w:p>
  </w:footnote>
  <w:footnote w:type="continuationSeparator" w:id="0">
    <w:p w14:paraId="0277450A" w14:textId="77777777" w:rsidR="002E0F94" w:rsidRDefault="002E0F94">
      <w:pPr>
        <w:spacing w:after="0" w:line="240" w:lineRule="auto"/>
      </w:pPr>
      <w:r>
        <w:continuationSeparator/>
      </w:r>
    </w:p>
  </w:footnote>
  <w:footnote w:type="continuationNotice" w:id="1">
    <w:p w14:paraId="01CF60F4" w14:textId="77777777" w:rsidR="002E0F94" w:rsidRDefault="002E0F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E0B2" w14:textId="77777777" w:rsidR="00327807" w:rsidRDefault="00327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A86E" w14:textId="16EC2A03" w:rsidR="00217B48" w:rsidRDefault="007D67ED" w:rsidP="1B8B4008">
    <w:pPr>
      <w:pStyle w:val="Header"/>
      <w:jc w:val="center"/>
      <w:rPr>
        <w:b/>
        <w:bCs/>
        <w:color w:val="646464"/>
        <w:sz w:val="18"/>
        <w:szCs w:val="18"/>
      </w:rPr>
    </w:pPr>
    <w:r>
      <w:rPr>
        <w:noProof/>
      </w:rPr>
      <w:drawing>
        <wp:anchor distT="0" distB="0" distL="114300" distR="114300" simplePos="0" relativeHeight="251660291" behindDoc="0" locked="0" layoutInCell="1" allowOverlap="1" wp14:anchorId="7D147959" wp14:editId="1932E9DE">
          <wp:simplePos x="0" y="0"/>
          <wp:positionH relativeFrom="margin">
            <wp:posOffset>561975</wp:posOffset>
          </wp:positionH>
          <wp:positionV relativeFrom="paragraph">
            <wp:posOffset>-774312</wp:posOffset>
          </wp:positionV>
          <wp:extent cx="1504950" cy="1431538"/>
          <wp:effectExtent l="0" t="0" r="0" b="0"/>
          <wp:wrapNone/>
          <wp:docPr id="953393372" name="Picture 1" descr="A logo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93372" name="Picture 1" descr="A logo with text on 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2379" cy="14386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3C1">
      <w:rPr>
        <w:b/>
        <w:noProof/>
        <w:color w:val="646464"/>
        <w:sz w:val="18"/>
      </w:rPr>
      <w:drawing>
        <wp:anchor distT="0" distB="0" distL="114300" distR="114300" simplePos="0" relativeHeight="251658242" behindDoc="0" locked="0" layoutInCell="1" allowOverlap="1" wp14:anchorId="7FAADA6C" wp14:editId="6E8028A2">
          <wp:simplePos x="0" y="0"/>
          <wp:positionH relativeFrom="margin">
            <wp:posOffset>2486025</wp:posOffset>
          </wp:positionH>
          <wp:positionV relativeFrom="paragraph">
            <wp:posOffset>-280035</wp:posOffset>
          </wp:positionV>
          <wp:extent cx="1600200" cy="471170"/>
          <wp:effectExtent l="0" t="0" r="0" b="5080"/>
          <wp:wrapNone/>
          <wp:docPr id="658043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471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6F5">
      <w:rPr>
        <w:b/>
        <w:noProof/>
        <w:color w:val="646464"/>
        <w:sz w:val="18"/>
      </w:rPr>
      <w:drawing>
        <wp:anchor distT="0" distB="0" distL="114300" distR="114300" simplePos="0" relativeHeight="251658243" behindDoc="0" locked="0" layoutInCell="1" allowOverlap="1" wp14:anchorId="38969D60" wp14:editId="48259490">
          <wp:simplePos x="0" y="0"/>
          <wp:positionH relativeFrom="rightMargin">
            <wp:posOffset>-161925</wp:posOffset>
          </wp:positionH>
          <wp:positionV relativeFrom="paragraph">
            <wp:posOffset>-607695</wp:posOffset>
          </wp:positionV>
          <wp:extent cx="1163989" cy="1047750"/>
          <wp:effectExtent l="0" t="0" r="0" b="0"/>
          <wp:wrapNone/>
          <wp:docPr id="1153783748" name="Picture 11" descr="A green and blue sphe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83748" name="Picture 11" descr="A green and blue sphere with black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3989"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2A5" w:rsidRPr="00E902A5">
      <w:rPr>
        <w:noProof/>
      </w:rPr>
      <w:drawing>
        <wp:anchor distT="0" distB="0" distL="114300" distR="114300" simplePos="0" relativeHeight="251658241" behindDoc="0" locked="0" layoutInCell="1" allowOverlap="1" wp14:anchorId="15411BE9" wp14:editId="0C96D02B">
          <wp:simplePos x="0" y="0"/>
          <wp:positionH relativeFrom="margin">
            <wp:posOffset>-1209675</wp:posOffset>
          </wp:positionH>
          <wp:positionV relativeFrom="paragraph">
            <wp:posOffset>-428625</wp:posOffset>
          </wp:positionV>
          <wp:extent cx="1614170" cy="1076325"/>
          <wp:effectExtent l="0" t="0" r="5080" b="9525"/>
          <wp:wrapNone/>
          <wp:docPr id="48259729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97292" name="Picture 1" descr="A close-up of a logo&#10;&#10;AI-generated content may be incorrect."/>
                  <pic:cNvPicPr/>
                </pic:nvPicPr>
                <pic:blipFill>
                  <a:blip r:embed="rId4"/>
                  <a:stretch>
                    <a:fillRect/>
                  </a:stretch>
                </pic:blipFill>
                <pic:spPr>
                  <a:xfrm>
                    <a:off x="0" y="0"/>
                    <a:ext cx="1614170" cy="1076325"/>
                  </a:xfrm>
                  <a:prstGeom prst="rect">
                    <a:avLst/>
                  </a:prstGeom>
                </pic:spPr>
              </pic:pic>
            </a:graphicData>
          </a:graphic>
        </wp:anchor>
      </w:drawing>
    </w:r>
    <w:r w:rsidR="00E902A5">
      <w:rPr>
        <w:noProof/>
      </w:rPr>
      <mc:AlternateContent>
        <mc:Choice Requires="wps">
          <w:drawing>
            <wp:inline distT="0" distB="0" distL="0" distR="0" wp14:anchorId="69293B07" wp14:editId="2EDED1F1">
              <wp:extent cx="304800" cy="304800"/>
              <wp:effectExtent l="0" t="0" r="0" b="0"/>
              <wp:docPr id="4656753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D4F6C"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5E69EC" w14:textId="2BB94392" w:rsidR="00E902A5" w:rsidRDefault="00E902A5">
    <w:pPr>
      <w:pStyle w:val="Header"/>
      <w:jc w:val="center"/>
      <w:rPr>
        <w:b/>
        <w:color w:val="646464"/>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5F0A" w14:textId="77777777" w:rsidR="00327807" w:rsidRDefault="00327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4F6512"/>
    <w:multiLevelType w:val="multilevel"/>
    <w:tmpl w:val="53BE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C544C"/>
    <w:multiLevelType w:val="hybridMultilevel"/>
    <w:tmpl w:val="7A4E9E6C"/>
    <w:lvl w:ilvl="0" w:tplc="FE6E53D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87BC3"/>
    <w:multiLevelType w:val="multilevel"/>
    <w:tmpl w:val="7280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D3D41"/>
    <w:multiLevelType w:val="multilevel"/>
    <w:tmpl w:val="32E87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2E578B"/>
    <w:multiLevelType w:val="multilevel"/>
    <w:tmpl w:val="5A9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A62B1A"/>
    <w:multiLevelType w:val="hybridMultilevel"/>
    <w:tmpl w:val="82E061F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58A92118"/>
    <w:multiLevelType w:val="multilevel"/>
    <w:tmpl w:val="AE84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A301F"/>
    <w:multiLevelType w:val="hybridMultilevel"/>
    <w:tmpl w:val="BDB2CD2A"/>
    <w:lvl w:ilvl="0" w:tplc="75D29B12">
      <w:start w:val="1"/>
      <w:numFmt w:val="decimal"/>
      <w:lvlText w:val="%1."/>
      <w:lvlJc w:val="left"/>
      <w:pPr>
        <w:ind w:left="1020" w:hanging="360"/>
      </w:pPr>
    </w:lvl>
    <w:lvl w:ilvl="1" w:tplc="9A563B3A">
      <w:start w:val="1"/>
      <w:numFmt w:val="decimal"/>
      <w:lvlText w:val="%2."/>
      <w:lvlJc w:val="left"/>
      <w:pPr>
        <w:ind w:left="1020" w:hanging="360"/>
      </w:pPr>
    </w:lvl>
    <w:lvl w:ilvl="2" w:tplc="9288EE94">
      <w:start w:val="1"/>
      <w:numFmt w:val="decimal"/>
      <w:lvlText w:val="%3."/>
      <w:lvlJc w:val="left"/>
      <w:pPr>
        <w:ind w:left="1020" w:hanging="360"/>
      </w:pPr>
    </w:lvl>
    <w:lvl w:ilvl="3" w:tplc="409CFBCE">
      <w:start w:val="1"/>
      <w:numFmt w:val="decimal"/>
      <w:lvlText w:val="%4."/>
      <w:lvlJc w:val="left"/>
      <w:pPr>
        <w:ind w:left="1020" w:hanging="360"/>
      </w:pPr>
    </w:lvl>
    <w:lvl w:ilvl="4" w:tplc="B45E2C36">
      <w:start w:val="1"/>
      <w:numFmt w:val="decimal"/>
      <w:lvlText w:val="%5."/>
      <w:lvlJc w:val="left"/>
      <w:pPr>
        <w:ind w:left="1020" w:hanging="360"/>
      </w:pPr>
    </w:lvl>
    <w:lvl w:ilvl="5" w:tplc="6874B114">
      <w:start w:val="1"/>
      <w:numFmt w:val="decimal"/>
      <w:lvlText w:val="%6."/>
      <w:lvlJc w:val="left"/>
      <w:pPr>
        <w:ind w:left="1020" w:hanging="360"/>
      </w:pPr>
    </w:lvl>
    <w:lvl w:ilvl="6" w:tplc="C3DC7952">
      <w:start w:val="1"/>
      <w:numFmt w:val="decimal"/>
      <w:lvlText w:val="%7."/>
      <w:lvlJc w:val="left"/>
      <w:pPr>
        <w:ind w:left="1020" w:hanging="360"/>
      </w:pPr>
    </w:lvl>
    <w:lvl w:ilvl="7" w:tplc="B652E8A8">
      <w:start w:val="1"/>
      <w:numFmt w:val="decimal"/>
      <w:lvlText w:val="%8."/>
      <w:lvlJc w:val="left"/>
      <w:pPr>
        <w:ind w:left="1020" w:hanging="360"/>
      </w:pPr>
    </w:lvl>
    <w:lvl w:ilvl="8" w:tplc="12546B0A">
      <w:start w:val="1"/>
      <w:numFmt w:val="decimal"/>
      <w:lvlText w:val="%9."/>
      <w:lvlJc w:val="left"/>
      <w:pPr>
        <w:ind w:left="1020" w:hanging="360"/>
      </w:pPr>
    </w:lvl>
  </w:abstractNum>
  <w:abstractNum w:abstractNumId="17" w15:restartNumberingAfterBreak="0">
    <w:nsid w:val="5D5728BE"/>
    <w:multiLevelType w:val="hybridMultilevel"/>
    <w:tmpl w:val="7DC0CFA0"/>
    <w:lvl w:ilvl="0" w:tplc="E526668E">
      <w:start w:val="1"/>
      <w:numFmt w:val="bullet"/>
      <w:lvlText w:val=""/>
      <w:lvlJc w:val="left"/>
      <w:pPr>
        <w:ind w:left="720" w:hanging="360"/>
      </w:pPr>
      <w:rPr>
        <w:rFonts w:ascii="Symbol" w:hAnsi="Symbol"/>
      </w:rPr>
    </w:lvl>
    <w:lvl w:ilvl="1" w:tplc="C08AF176">
      <w:start w:val="1"/>
      <w:numFmt w:val="bullet"/>
      <w:lvlText w:val=""/>
      <w:lvlJc w:val="left"/>
      <w:pPr>
        <w:ind w:left="720" w:hanging="360"/>
      </w:pPr>
      <w:rPr>
        <w:rFonts w:ascii="Symbol" w:hAnsi="Symbol"/>
      </w:rPr>
    </w:lvl>
    <w:lvl w:ilvl="2" w:tplc="D32E2868">
      <w:start w:val="1"/>
      <w:numFmt w:val="bullet"/>
      <w:lvlText w:val=""/>
      <w:lvlJc w:val="left"/>
      <w:pPr>
        <w:ind w:left="720" w:hanging="360"/>
      </w:pPr>
      <w:rPr>
        <w:rFonts w:ascii="Symbol" w:hAnsi="Symbol"/>
      </w:rPr>
    </w:lvl>
    <w:lvl w:ilvl="3" w:tplc="66B8F70E">
      <w:start w:val="1"/>
      <w:numFmt w:val="bullet"/>
      <w:lvlText w:val=""/>
      <w:lvlJc w:val="left"/>
      <w:pPr>
        <w:ind w:left="720" w:hanging="360"/>
      </w:pPr>
      <w:rPr>
        <w:rFonts w:ascii="Symbol" w:hAnsi="Symbol"/>
      </w:rPr>
    </w:lvl>
    <w:lvl w:ilvl="4" w:tplc="61B496F0">
      <w:start w:val="1"/>
      <w:numFmt w:val="bullet"/>
      <w:lvlText w:val=""/>
      <w:lvlJc w:val="left"/>
      <w:pPr>
        <w:ind w:left="720" w:hanging="360"/>
      </w:pPr>
      <w:rPr>
        <w:rFonts w:ascii="Symbol" w:hAnsi="Symbol"/>
      </w:rPr>
    </w:lvl>
    <w:lvl w:ilvl="5" w:tplc="19424696">
      <w:start w:val="1"/>
      <w:numFmt w:val="bullet"/>
      <w:lvlText w:val=""/>
      <w:lvlJc w:val="left"/>
      <w:pPr>
        <w:ind w:left="720" w:hanging="360"/>
      </w:pPr>
      <w:rPr>
        <w:rFonts w:ascii="Symbol" w:hAnsi="Symbol"/>
      </w:rPr>
    </w:lvl>
    <w:lvl w:ilvl="6" w:tplc="72E439E8">
      <w:start w:val="1"/>
      <w:numFmt w:val="bullet"/>
      <w:lvlText w:val=""/>
      <w:lvlJc w:val="left"/>
      <w:pPr>
        <w:ind w:left="720" w:hanging="360"/>
      </w:pPr>
      <w:rPr>
        <w:rFonts w:ascii="Symbol" w:hAnsi="Symbol"/>
      </w:rPr>
    </w:lvl>
    <w:lvl w:ilvl="7" w:tplc="D5E2C0A2">
      <w:start w:val="1"/>
      <w:numFmt w:val="bullet"/>
      <w:lvlText w:val=""/>
      <w:lvlJc w:val="left"/>
      <w:pPr>
        <w:ind w:left="720" w:hanging="360"/>
      </w:pPr>
      <w:rPr>
        <w:rFonts w:ascii="Symbol" w:hAnsi="Symbol"/>
      </w:rPr>
    </w:lvl>
    <w:lvl w:ilvl="8" w:tplc="7D16593A">
      <w:start w:val="1"/>
      <w:numFmt w:val="bullet"/>
      <w:lvlText w:val=""/>
      <w:lvlJc w:val="left"/>
      <w:pPr>
        <w:ind w:left="720" w:hanging="360"/>
      </w:pPr>
      <w:rPr>
        <w:rFonts w:ascii="Symbol" w:hAnsi="Symbol"/>
      </w:rPr>
    </w:lvl>
  </w:abstractNum>
  <w:abstractNum w:abstractNumId="18" w15:restartNumberingAfterBreak="0">
    <w:nsid w:val="5F214CAD"/>
    <w:multiLevelType w:val="multilevel"/>
    <w:tmpl w:val="906C2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CA13EA"/>
    <w:multiLevelType w:val="hybridMultilevel"/>
    <w:tmpl w:val="D04EC64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365636"/>
    <w:multiLevelType w:val="multilevel"/>
    <w:tmpl w:val="367A6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714D56"/>
    <w:multiLevelType w:val="multilevel"/>
    <w:tmpl w:val="42C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E3866"/>
    <w:multiLevelType w:val="hybridMultilevel"/>
    <w:tmpl w:val="C4F2F224"/>
    <w:lvl w:ilvl="0" w:tplc="ED125F5A">
      <w:start w:val="1"/>
      <w:numFmt w:val="decimal"/>
      <w:lvlText w:val="%1."/>
      <w:lvlJc w:val="left"/>
      <w:pPr>
        <w:ind w:left="1520" w:hanging="360"/>
      </w:pPr>
    </w:lvl>
    <w:lvl w:ilvl="1" w:tplc="8028F7DE">
      <w:start w:val="1"/>
      <w:numFmt w:val="decimal"/>
      <w:lvlText w:val="%2."/>
      <w:lvlJc w:val="left"/>
      <w:pPr>
        <w:ind w:left="1520" w:hanging="360"/>
      </w:pPr>
    </w:lvl>
    <w:lvl w:ilvl="2" w:tplc="C1E61130">
      <w:start w:val="1"/>
      <w:numFmt w:val="decimal"/>
      <w:lvlText w:val="%3."/>
      <w:lvlJc w:val="left"/>
      <w:pPr>
        <w:ind w:left="1520" w:hanging="360"/>
      </w:pPr>
    </w:lvl>
    <w:lvl w:ilvl="3" w:tplc="D94E4400">
      <w:start w:val="1"/>
      <w:numFmt w:val="decimal"/>
      <w:lvlText w:val="%4."/>
      <w:lvlJc w:val="left"/>
      <w:pPr>
        <w:ind w:left="1520" w:hanging="360"/>
      </w:pPr>
    </w:lvl>
    <w:lvl w:ilvl="4" w:tplc="335EEB8E">
      <w:start w:val="1"/>
      <w:numFmt w:val="decimal"/>
      <w:lvlText w:val="%5."/>
      <w:lvlJc w:val="left"/>
      <w:pPr>
        <w:ind w:left="1520" w:hanging="360"/>
      </w:pPr>
    </w:lvl>
    <w:lvl w:ilvl="5" w:tplc="2430932A">
      <w:start w:val="1"/>
      <w:numFmt w:val="decimal"/>
      <w:lvlText w:val="%6."/>
      <w:lvlJc w:val="left"/>
      <w:pPr>
        <w:ind w:left="1520" w:hanging="360"/>
      </w:pPr>
    </w:lvl>
    <w:lvl w:ilvl="6" w:tplc="23A00398">
      <w:start w:val="1"/>
      <w:numFmt w:val="decimal"/>
      <w:lvlText w:val="%7."/>
      <w:lvlJc w:val="left"/>
      <w:pPr>
        <w:ind w:left="1520" w:hanging="360"/>
      </w:pPr>
    </w:lvl>
    <w:lvl w:ilvl="7" w:tplc="49F6C3FA">
      <w:start w:val="1"/>
      <w:numFmt w:val="decimal"/>
      <w:lvlText w:val="%8."/>
      <w:lvlJc w:val="left"/>
      <w:pPr>
        <w:ind w:left="1520" w:hanging="360"/>
      </w:pPr>
    </w:lvl>
    <w:lvl w:ilvl="8" w:tplc="C33A1B0C">
      <w:start w:val="1"/>
      <w:numFmt w:val="decimal"/>
      <w:lvlText w:val="%9."/>
      <w:lvlJc w:val="left"/>
      <w:pPr>
        <w:ind w:left="1520" w:hanging="360"/>
      </w:pPr>
    </w:lvl>
  </w:abstractNum>
  <w:abstractNum w:abstractNumId="23" w15:restartNumberingAfterBreak="0">
    <w:nsid w:val="7DCD7D70"/>
    <w:multiLevelType w:val="hybridMultilevel"/>
    <w:tmpl w:val="7A14DB7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2A67B5"/>
    <w:multiLevelType w:val="multilevel"/>
    <w:tmpl w:val="9E48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302318">
    <w:abstractNumId w:val="8"/>
  </w:num>
  <w:num w:numId="2" w16cid:durableId="2019577454">
    <w:abstractNumId w:val="6"/>
  </w:num>
  <w:num w:numId="3" w16cid:durableId="1724863223">
    <w:abstractNumId w:val="5"/>
  </w:num>
  <w:num w:numId="4" w16cid:durableId="873618582">
    <w:abstractNumId w:val="4"/>
  </w:num>
  <w:num w:numId="5" w16cid:durableId="797722205">
    <w:abstractNumId w:val="7"/>
  </w:num>
  <w:num w:numId="6" w16cid:durableId="102461272">
    <w:abstractNumId w:val="3"/>
  </w:num>
  <w:num w:numId="7" w16cid:durableId="897787701">
    <w:abstractNumId w:val="2"/>
  </w:num>
  <w:num w:numId="8" w16cid:durableId="624047178">
    <w:abstractNumId w:val="1"/>
  </w:num>
  <w:num w:numId="9" w16cid:durableId="428044978">
    <w:abstractNumId w:val="0"/>
  </w:num>
  <w:num w:numId="10" w16cid:durableId="1500461193">
    <w:abstractNumId w:val="15"/>
  </w:num>
  <w:num w:numId="11" w16cid:durableId="409425305">
    <w:abstractNumId w:val="9"/>
  </w:num>
  <w:num w:numId="12" w16cid:durableId="848839027">
    <w:abstractNumId w:val="24"/>
  </w:num>
  <w:num w:numId="13" w16cid:durableId="205290798">
    <w:abstractNumId w:val="11"/>
  </w:num>
  <w:num w:numId="14" w16cid:durableId="751466710">
    <w:abstractNumId w:val="12"/>
  </w:num>
  <w:num w:numId="15" w16cid:durableId="1975406770">
    <w:abstractNumId w:val="21"/>
  </w:num>
  <w:num w:numId="16" w16cid:durableId="477068444">
    <w:abstractNumId w:val="18"/>
  </w:num>
  <w:num w:numId="17" w16cid:durableId="1157569120">
    <w:abstractNumId w:val="20"/>
  </w:num>
  <w:num w:numId="18" w16cid:durableId="53239428">
    <w:abstractNumId w:val="10"/>
  </w:num>
  <w:num w:numId="19" w16cid:durableId="1332832612">
    <w:abstractNumId w:val="19"/>
  </w:num>
  <w:num w:numId="20" w16cid:durableId="1770006115">
    <w:abstractNumId w:val="14"/>
  </w:num>
  <w:num w:numId="21" w16cid:durableId="1909339788">
    <w:abstractNumId w:val="23"/>
  </w:num>
  <w:num w:numId="22" w16cid:durableId="833032386">
    <w:abstractNumId w:val="16"/>
  </w:num>
  <w:num w:numId="23" w16cid:durableId="72510522">
    <w:abstractNumId w:val="17"/>
  </w:num>
  <w:num w:numId="24" w16cid:durableId="1799687422">
    <w:abstractNumId w:val="22"/>
  </w:num>
  <w:num w:numId="25" w16cid:durableId="665394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3D4"/>
    <w:rsid w:val="00020BDC"/>
    <w:rsid w:val="000334C7"/>
    <w:rsid w:val="00034616"/>
    <w:rsid w:val="00035438"/>
    <w:rsid w:val="00035E37"/>
    <w:rsid w:val="00042BE7"/>
    <w:rsid w:val="00043DCF"/>
    <w:rsid w:val="00046D40"/>
    <w:rsid w:val="0005028B"/>
    <w:rsid w:val="00050D78"/>
    <w:rsid w:val="000514A3"/>
    <w:rsid w:val="00051B63"/>
    <w:rsid w:val="00056973"/>
    <w:rsid w:val="0006063C"/>
    <w:rsid w:val="00065F6A"/>
    <w:rsid w:val="000707B4"/>
    <w:rsid w:val="00071760"/>
    <w:rsid w:val="000776F9"/>
    <w:rsid w:val="000779E0"/>
    <w:rsid w:val="0008101C"/>
    <w:rsid w:val="00082D19"/>
    <w:rsid w:val="00094805"/>
    <w:rsid w:val="00097311"/>
    <w:rsid w:val="000A10EA"/>
    <w:rsid w:val="000A6541"/>
    <w:rsid w:val="000B03C1"/>
    <w:rsid w:val="000B7949"/>
    <w:rsid w:val="000D251F"/>
    <w:rsid w:val="000D767F"/>
    <w:rsid w:val="000E2F51"/>
    <w:rsid w:val="000F5A42"/>
    <w:rsid w:val="001053F7"/>
    <w:rsid w:val="00106430"/>
    <w:rsid w:val="00112D47"/>
    <w:rsid w:val="00114FEC"/>
    <w:rsid w:val="0011671A"/>
    <w:rsid w:val="00116940"/>
    <w:rsid w:val="0013581D"/>
    <w:rsid w:val="00135904"/>
    <w:rsid w:val="001374AE"/>
    <w:rsid w:val="0015074B"/>
    <w:rsid w:val="00161DF8"/>
    <w:rsid w:val="00162AFA"/>
    <w:rsid w:val="00163441"/>
    <w:rsid w:val="0016464E"/>
    <w:rsid w:val="001711FB"/>
    <w:rsid w:val="00172F7A"/>
    <w:rsid w:val="00174D61"/>
    <w:rsid w:val="00177E5D"/>
    <w:rsid w:val="001811AE"/>
    <w:rsid w:val="00181DD7"/>
    <w:rsid w:val="00184597"/>
    <w:rsid w:val="001856F5"/>
    <w:rsid w:val="001860D9"/>
    <w:rsid w:val="001929CD"/>
    <w:rsid w:val="00195CC7"/>
    <w:rsid w:val="001A541B"/>
    <w:rsid w:val="001A7803"/>
    <w:rsid w:val="001B64AF"/>
    <w:rsid w:val="001C3587"/>
    <w:rsid w:val="001C72B9"/>
    <w:rsid w:val="001D16CB"/>
    <w:rsid w:val="001E4B13"/>
    <w:rsid w:val="001E682A"/>
    <w:rsid w:val="001F3CD0"/>
    <w:rsid w:val="001F5247"/>
    <w:rsid w:val="00207195"/>
    <w:rsid w:val="00207C97"/>
    <w:rsid w:val="00217B48"/>
    <w:rsid w:val="00232B90"/>
    <w:rsid w:val="0023737C"/>
    <w:rsid w:val="00240D9B"/>
    <w:rsid w:val="00243097"/>
    <w:rsid w:val="00252338"/>
    <w:rsid w:val="00257623"/>
    <w:rsid w:val="00264526"/>
    <w:rsid w:val="00264D42"/>
    <w:rsid w:val="00266CA7"/>
    <w:rsid w:val="002736E6"/>
    <w:rsid w:val="00277EC9"/>
    <w:rsid w:val="002843F6"/>
    <w:rsid w:val="0029639D"/>
    <w:rsid w:val="00296D8C"/>
    <w:rsid w:val="002A13BD"/>
    <w:rsid w:val="002A1AB0"/>
    <w:rsid w:val="002A2A6D"/>
    <w:rsid w:val="002A7EB5"/>
    <w:rsid w:val="002C184C"/>
    <w:rsid w:val="002D49F8"/>
    <w:rsid w:val="002E0F94"/>
    <w:rsid w:val="002E51EE"/>
    <w:rsid w:val="002E65AB"/>
    <w:rsid w:val="002F390A"/>
    <w:rsid w:val="002F7F4D"/>
    <w:rsid w:val="0030283F"/>
    <w:rsid w:val="00305631"/>
    <w:rsid w:val="003059E2"/>
    <w:rsid w:val="00307E83"/>
    <w:rsid w:val="00312EF6"/>
    <w:rsid w:val="00317EF8"/>
    <w:rsid w:val="00324969"/>
    <w:rsid w:val="00326F90"/>
    <w:rsid w:val="00327387"/>
    <w:rsid w:val="00327807"/>
    <w:rsid w:val="00335461"/>
    <w:rsid w:val="0034076F"/>
    <w:rsid w:val="00340AD2"/>
    <w:rsid w:val="00343E13"/>
    <w:rsid w:val="0035062C"/>
    <w:rsid w:val="003516CC"/>
    <w:rsid w:val="0035564E"/>
    <w:rsid w:val="003565DA"/>
    <w:rsid w:val="00356910"/>
    <w:rsid w:val="00357074"/>
    <w:rsid w:val="003613C0"/>
    <w:rsid w:val="003726D2"/>
    <w:rsid w:val="003739C6"/>
    <w:rsid w:val="00380960"/>
    <w:rsid w:val="0038150E"/>
    <w:rsid w:val="003918DE"/>
    <w:rsid w:val="003A215D"/>
    <w:rsid w:val="003A4AB1"/>
    <w:rsid w:val="003A7AB9"/>
    <w:rsid w:val="003B139F"/>
    <w:rsid w:val="003C3D94"/>
    <w:rsid w:val="003C441F"/>
    <w:rsid w:val="003D22D9"/>
    <w:rsid w:val="003E19A4"/>
    <w:rsid w:val="003E1B7A"/>
    <w:rsid w:val="003E3901"/>
    <w:rsid w:val="003E47AD"/>
    <w:rsid w:val="003E4EC8"/>
    <w:rsid w:val="003F1354"/>
    <w:rsid w:val="003F6149"/>
    <w:rsid w:val="004052B4"/>
    <w:rsid w:val="00411B69"/>
    <w:rsid w:val="0041690E"/>
    <w:rsid w:val="00417300"/>
    <w:rsid w:val="00417DA6"/>
    <w:rsid w:val="0042009E"/>
    <w:rsid w:val="00423EA4"/>
    <w:rsid w:val="00436CF3"/>
    <w:rsid w:val="00437C69"/>
    <w:rsid w:val="00441BAC"/>
    <w:rsid w:val="004507CB"/>
    <w:rsid w:val="00454215"/>
    <w:rsid w:val="004542DE"/>
    <w:rsid w:val="004557BC"/>
    <w:rsid w:val="004621D3"/>
    <w:rsid w:val="00470EBC"/>
    <w:rsid w:val="004763D8"/>
    <w:rsid w:val="0048115E"/>
    <w:rsid w:val="004831DC"/>
    <w:rsid w:val="004848EC"/>
    <w:rsid w:val="00486E49"/>
    <w:rsid w:val="00487443"/>
    <w:rsid w:val="00487ACB"/>
    <w:rsid w:val="00493428"/>
    <w:rsid w:val="004943E4"/>
    <w:rsid w:val="004A5702"/>
    <w:rsid w:val="004A7D2B"/>
    <w:rsid w:val="004A7D66"/>
    <w:rsid w:val="004B467B"/>
    <w:rsid w:val="004C0B90"/>
    <w:rsid w:val="004C3B93"/>
    <w:rsid w:val="004D0147"/>
    <w:rsid w:val="004E72CB"/>
    <w:rsid w:val="004E7AAE"/>
    <w:rsid w:val="004F0454"/>
    <w:rsid w:val="004F4070"/>
    <w:rsid w:val="00504ADD"/>
    <w:rsid w:val="00505EEB"/>
    <w:rsid w:val="00513318"/>
    <w:rsid w:val="00513D03"/>
    <w:rsid w:val="005141EB"/>
    <w:rsid w:val="00516031"/>
    <w:rsid w:val="00526F16"/>
    <w:rsid w:val="00527BDE"/>
    <w:rsid w:val="00540554"/>
    <w:rsid w:val="00544A2F"/>
    <w:rsid w:val="00547099"/>
    <w:rsid w:val="005555BF"/>
    <w:rsid w:val="00560FCE"/>
    <w:rsid w:val="00572537"/>
    <w:rsid w:val="00576099"/>
    <w:rsid w:val="00581AA5"/>
    <w:rsid w:val="00583B74"/>
    <w:rsid w:val="005907F7"/>
    <w:rsid w:val="00596B68"/>
    <w:rsid w:val="005A1C2D"/>
    <w:rsid w:val="005A1D91"/>
    <w:rsid w:val="005A3D10"/>
    <w:rsid w:val="005B1792"/>
    <w:rsid w:val="005C504A"/>
    <w:rsid w:val="005C7A00"/>
    <w:rsid w:val="005D11D6"/>
    <w:rsid w:val="005D34F1"/>
    <w:rsid w:val="005D3CD7"/>
    <w:rsid w:val="005D4953"/>
    <w:rsid w:val="005D538A"/>
    <w:rsid w:val="005E118B"/>
    <w:rsid w:val="005E1E5F"/>
    <w:rsid w:val="005E507D"/>
    <w:rsid w:val="005E6034"/>
    <w:rsid w:val="005E63A1"/>
    <w:rsid w:val="0060213C"/>
    <w:rsid w:val="00602574"/>
    <w:rsid w:val="006028E4"/>
    <w:rsid w:val="00616920"/>
    <w:rsid w:val="00617EC6"/>
    <w:rsid w:val="006211EC"/>
    <w:rsid w:val="0062251F"/>
    <w:rsid w:val="00634132"/>
    <w:rsid w:val="006343AA"/>
    <w:rsid w:val="00635CBC"/>
    <w:rsid w:val="00645597"/>
    <w:rsid w:val="006477BE"/>
    <w:rsid w:val="00652A27"/>
    <w:rsid w:val="00656DF3"/>
    <w:rsid w:val="006665BD"/>
    <w:rsid w:val="00666C49"/>
    <w:rsid w:val="00666F8A"/>
    <w:rsid w:val="006678D8"/>
    <w:rsid w:val="00670D9B"/>
    <w:rsid w:val="006723C6"/>
    <w:rsid w:val="00673A6B"/>
    <w:rsid w:val="00673E46"/>
    <w:rsid w:val="0068043E"/>
    <w:rsid w:val="00682680"/>
    <w:rsid w:val="0068406B"/>
    <w:rsid w:val="006944E4"/>
    <w:rsid w:val="00695739"/>
    <w:rsid w:val="00696179"/>
    <w:rsid w:val="00696564"/>
    <w:rsid w:val="006A29F7"/>
    <w:rsid w:val="006A5CCE"/>
    <w:rsid w:val="006B222F"/>
    <w:rsid w:val="006B3683"/>
    <w:rsid w:val="006B4E76"/>
    <w:rsid w:val="006B621D"/>
    <w:rsid w:val="006C3CB9"/>
    <w:rsid w:val="006C402D"/>
    <w:rsid w:val="006C67E7"/>
    <w:rsid w:val="006E0D1C"/>
    <w:rsid w:val="006E13A4"/>
    <w:rsid w:val="006E29FF"/>
    <w:rsid w:val="006E6673"/>
    <w:rsid w:val="006E718B"/>
    <w:rsid w:val="006E75B6"/>
    <w:rsid w:val="00701794"/>
    <w:rsid w:val="00704FEA"/>
    <w:rsid w:val="00706CD2"/>
    <w:rsid w:val="00710365"/>
    <w:rsid w:val="00711494"/>
    <w:rsid w:val="007136AE"/>
    <w:rsid w:val="00715633"/>
    <w:rsid w:val="007166BF"/>
    <w:rsid w:val="00726821"/>
    <w:rsid w:val="00736F4F"/>
    <w:rsid w:val="00742C91"/>
    <w:rsid w:val="0074593E"/>
    <w:rsid w:val="00746B8C"/>
    <w:rsid w:val="00753BFE"/>
    <w:rsid w:val="00753CD2"/>
    <w:rsid w:val="00754F50"/>
    <w:rsid w:val="00755748"/>
    <w:rsid w:val="00757A6D"/>
    <w:rsid w:val="00770140"/>
    <w:rsid w:val="00770EBC"/>
    <w:rsid w:val="0077794C"/>
    <w:rsid w:val="0078016E"/>
    <w:rsid w:val="00782ADB"/>
    <w:rsid w:val="0078363F"/>
    <w:rsid w:val="00787135"/>
    <w:rsid w:val="0078753B"/>
    <w:rsid w:val="00796BE3"/>
    <w:rsid w:val="007A4219"/>
    <w:rsid w:val="007A62AA"/>
    <w:rsid w:val="007A6D5A"/>
    <w:rsid w:val="007B0BA4"/>
    <w:rsid w:val="007B159F"/>
    <w:rsid w:val="007B71CB"/>
    <w:rsid w:val="007D36DB"/>
    <w:rsid w:val="007D67ED"/>
    <w:rsid w:val="007E7556"/>
    <w:rsid w:val="007F51B7"/>
    <w:rsid w:val="007F5F3E"/>
    <w:rsid w:val="007F77CA"/>
    <w:rsid w:val="007F7BC9"/>
    <w:rsid w:val="0080627A"/>
    <w:rsid w:val="00812FC9"/>
    <w:rsid w:val="008147A9"/>
    <w:rsid w:val="008172F0"/>
    <w:rsid w:val="008176A5"/>
    <w:rsid w:val="00821E05"/>
    <w:rsid w:val="00823D57"/>
    <w:rsid w:val="00826981"/>
    <w:rsid w:val="00831D25"/>
    <w:rsid w:val="0083205B"/>
    <w:rsid w:val="00835DF2"/>
    <w:rsid w:val="00835F4A"/>
    <w:rsid w:val="0084049A"/>
    <w:rsid w:val="008535D5"/>
    <w:rsid w:val="0085430B"/>
    <w:rsid w:val="008543DD"/>
    <w:rsid w:val="008615B5"/>
    <w:rsid w:val="00890925"/>
    <w:rsid w:val="00896A03"/>
    <w:rsid w:val="008A135C"/>
    <w:rsid w:val="008A1779"/>
    <w:rsid w:val="008B4991"/>
    <w:rsid w:val="008C195F"/>
    <w:rsid w:val="008C35CE"/>
    <w:rsid w:val="008C70EA"/>
    <w:rsid w:val="008C7E54"/>
    <w:rsid w:val="008D071A"/>
    <w:rsid w:val="008E69FD"/>
    <w:rsid w:val="008F09D2"/>
    <w:rsid w:val="008F14A0"/>
    <w:rsid w:val="008F3578"/>
    <w:rsid w:val="008F51FD"/>
    <w:rsid w:val="00905234"/>
    <w:rsid w:val="00915262"/>
    <w:rsid w:val="009169C2"/>
    <w:rsid w:val="00930337"/>
    <w:rsid w:val="009319C3"/>
    <w:rsid w:val="00934C44"/>
    <w:rsid w:val="00935127"/>
    <w:rsid w:val="009359AB"/>
    <w:rsid w:val="00940CBF"/>
    <w:rsid w:val="00942D2A"/>
    <w:rsid w:val="00955D0E"/>
    <w:rsid w:val="00957C1A"/>
    <w:rsid w:val="009607A7"/>
    <w:rsid w:val="00970340"/>
    <w:rsid w:val="00970FF3"/>
    <w:rsid w:val="00971F95"/>
    <w:rsid w:val="009757B1"/>
    <w:rsid w:val="00990E3B"/>
    <w:rsid w:val="00992AFD"/>
    <w:rsid w:val="009A1D3E"/>
    <w:rsid w:val="009A29D7"/>
    <w:rsid w:val="009A371E"/>
    <w:rsid w:val="009C277E"/>
    <w:rsid w:val="009C40F4"/>
    <w:rsid w:val="009C5187"/>
    <w:rsid w:val="009D2797"/>
    <w:rsid w:val="009D31B1"/>
    <w:rsid w:val="009D683A"/>
    <w:rsid w:val="009D6E2F"/>
    <w:rsid w:val="009D6FA7"/>
    <w:rsid w:val="00A013C1"/>
    <w:rsid w:val="00A02ADD"/>
    <w:rsid w:val="00A0460C"/>
    <w:rsid w:val="00A076A5"/>
    <w:rsid w:val="00A07AC8"/>
    <w:rsid w:val="00A11081"/>
    <w:rsid w:val="00A24150"/>
    <w:rsid w:val="00A37112"/>
    <w:rsid w:val="00A41005"/>
    <w:rsid w:val="00A441C3"/>
    <w:rsid w:val="00A469AD"/>
    <w:rsid w:val="00A70E64"/>
    <w:rsid w:val="00A72154"/>
    <w:rsid w:val="00A72394"/>
    <w:rsid w:val="00A77E5E"/>
    <w:rsid w:val="00A824DD"/>
    <w:rsid w:val="00A848C0"/>
    <w:rsid w:val="00A90AA5"/>
    <w:rsid w:val="00A91FCB"/>
    <w:rsid w:val="00A92EC4"/>
    <w:rsid w:val="00A93D3C"/>
    <w:rsid w:val="00A95ACE"/>
    <w:rsid w:val="00AA1D8D"/>
    <w:rsid w:val="00AA36EE"/>
    <w:rsid w:val="00AB21B9"/>
    <w:rsid w:val="00AC3F03"/>
    <w:rsid w:val="00AD3FAC"/>
    <w:rsid w:val="00AE495E"/>
    <w:rsid w:val="00AF2F67"/>
    <w:rsid w:val="00AF40A8"/>
    <w:rsid w:val="00B06BD1"/>
    <w:rsid w:val="00B138F9"/>
    <w:rsid w:val="00B15AA9"/>
    <w:rsid w:val="00B24657"/>
    <w:rsid w:val="00B251CF"/>
    <w:rsid w:val="00B30234"/>
    <w:rsid w:val="00B3146D"/>
    <w:rsid w:val="00B37ECE"/>
    <w:rsid w:val="00B40B27"/>
    <w:rsid w:val="00B423D1"/>
    <w:rsid w:val="00B42A33"/>
    <w:rsid w:val="00B4505C"/>
    <w:rsid w:val="00B47730"/>
    <w:rsid w:val="00B517FE"/>
    <w:rsid w:val="00B64913"/>
    <w:rsid w:val="00B66082"/>
    <w:rsid w:val="00B7070C"/>
    <w:rsid w:val="00B847E4"/>
    <w:rsid w:val="00B850FD"/>
    <w:rsid w:val="00B8573D"/>
    <w:rsid w:val="00B869D4"/>
    <w:rsid w:val="00BA0FAF"/>
    <w:rsid w:val="00BA3AE4"/>
    <w:rsid w:val="00BB00D8"/>
    <w:rsid w:val="00BB7946"/>
    <w:rsid w:val="00BB7E64"/>
    <w:rsid w:val="00BC12EB"/>
    <w:rsid w:val="00BC5095"/>
    <w:rsid w:val="00BD1D8A"/>
    <w:rsid w:val="00BD3A6D"/>
    <w:rsid w:val="00BE1FA1"/>
    <w:rsid w:val="00C044AF"/>
    <w:rsid w:val="00C075BA"/>
    <w:rsid w:val="00C105E4"/>
    <w:rsid w:val="00C121F1"/>
    <w:rsid w:val="00C12C35"/>
    <w:rsid w:val="00C30684"/>
    <w:rsid w:val="00C44AC9"/>
    <w:rsid w:val="00C458A2"/>
    <w:rsid w:val="00C6566E"/>
    <w:rsid w:val="00C67A02"/>
    <w:rsid w:val="00C74526"/>
    <w:rsid w:val="00C9345E"/>
    <w:rsid w:val="00C9359F"/>
    <w:rsid w:val="00CA2235"/>
    <w:rsid w:val="00CA48F6"/>
    <w:rsid w:val="00CB0664"/>
    <w:rsid w:val="00CB49E4"/>
    <w:rsid w:val="00CB7D26"/>
    <w:rsid w:val="00CC2561"/>
    <w:rsid w:val="00CC26C5"/>
    <w:rsid w:val="00CC3BF1"/>
    <w:rsid w:val="00CC69D6"/>
    <w:rsid w:val="00CC6FAB"/>
    <w:rsid w:val="00CD06F4"/>
    <w:rsid w:val="00CD1D76"/>
    <w:rsid w:val="00CE30C8"/>
    <w:rsid w:val="00CE3AF1"/>
    <w:rsid w:val="00CE53FC"/>
    <w:rsid w:val="00CF1566"/>
    <w:rsid w:val="00CF1981"/>
    <w:rsid w:val="00CF3BAC"/>
    <w:rsid w:val="00CF55A0"/>
    <w:rsid w:val="00CF6848"/>
    <w:rsid w:val="00CF727E"/>
    <w:rsid w:val="00D00DD7"/>
    <w:rsid w:val="00D103AE"/>
    <w:rsid w:val="00D14064"/>
    <w:rsid w:val="00D20AF9"/>
    <w:rsid w:val="00D33073"/>
    <w:rsid w:val="00D43DCB"/>
    <w:rsid w:val="00D468CB"/>
    <w:rsid w:val="00D473BC"/>
    <w:rsid w:val="00D50838"/>
    <w:rsid w:val="00D5181E"/>
    <w:rsid w:val="00D51F95"/>
    <w:rsid w:val="00D600B3"/>
    <w:rsid w:val="00D62CBD"/>
    <w:rsid w:val="00D71A6A"/>
    <w:rsid w:val="00D7531F"/>
    <w:rsid w:val="00D765E7"/>
    <w:rsid w:val="00D84E4B"/>
    <w:rsid w:val="00D900DE"/>
    <w:rsid w:val="00DA1BB1"/>
    <w:rsid w:val="00DA654D"/>
    <w:rsid w:val="00DA76A1"/>
    <w:rsid w:val="00DB0A20"/>
    <w:rsid w:val="00DB4CAF"/>
    <w:rsid w:val="00DB77AC"/>
    <w:rsid w:val="00DC1881"/>
    <w:rsid w:val="00DC23A3"/>
    <w:rsid w:val="00DC33EC"/>
    <w:rsid w:val="00DC41A4"/>
    <w:rsid w:val="00DC77CB"/>
    <w:rsid w:val="00DD0040"/>
    <w:rsid w:val="00DD32F6"/>
    <w:rsid w:val="00DE7794"/>
    <w:rsid w:val="00DE7A62"/>
    <w:rsid w:val="00DF0F58"/>
    <w:rsid w:val="00DF3642"/>
    <w:rsid w:val="00DF42C9"/>
    <w:rsid w:val="00DF7F40"/>
    <w:rsid w:val="00E06D0A"/>
    <w:rsid w:val="00E07049"/>
    <w:rsid w:val="00E13B87"/>
    <w:rsid w:val="00E20A6D"/>
    <w:rsid w:val="00E3068F"/>
    <w:rsid w:val="00E36E1F"/>
    <w:rsid w:val="00E3748C"/>
    <w:rsid w:val="00E4244D"/>
    <w:rsid w:val="00E50F80"/>
    <w:rsid w:val="00E61DB9"/>
    <w:rsid w:val="00E65A21"/>
    <w:rsid w:val="00E73AE9"/>
    <w:rsid w:val="00E829BC"/>
    <w:rsid w:val="00E84118"/>
    <w:rsid w:val="00E902A5"/>
    <w:rsid w:val="00E963E2"/>
    <w:rsid w:val="00E9733B"/>
    <w:rsid w:val="00EA051E"/>
    <w:rsid w:val="00EA5B79"/>
    <w:rsid w:val="00EA75AF"/>
    <w:rsid w:val="00EC360E"/>
    <w:rsid w:val="00EC5510"/>
    <w:rsid w:val="00EC6517"/>
    <w:rsid w:val="00ED23A4"/>
    <w:rsid w:val="00EE42DB"/>
    <w:rsid w:val="00EE4FA4"/>
    <w:rsid w:val="00EF3C9F"/>
    <w:rsid w:val="00EF4877"/>
    <w:rsid w:val="00EF5ACC"/>
    <w:rsid w:val="00F020F5"/>
    <w:rsid w:val="00F125D9"/>
    <w:rsid w:val="00F1364E"/>
    <w:rsid w:val="00F2338C"/>
    <w:rsid w:val="00F23F3F"/>
    <w:rsid w:val="00F25032"/>
    <w:rsid w:val="00F33D30"/>
    <w:rsid w:val="00F35878"/>
    <w:rsid w:val="00F44C57"/>
    <w:rsid w:val="00F44DEC"/>
    <w:rsid w:val="00F50A9F"/>
    <w:rsid w:val="00F529FC"/>
    <w:rsid w:val="00F53F27"/>
    <w:rsid w:val="00F55C09"/>
    <w:rsid w:val="00F6350F"/>
    <w:rsid w:val="00F76193"/>
    <w:rsid w:val="00F84BFC"/>
    <w:rsid w:val="00F90AF8"/>
    <w:rsid w:val="00F92D12"/>
    <w:rsid w:val="00F97531"/>
    <w:rsid w:val="00F97BDC"/>
    <w:rsid w:val="00FA181C"/>
    <w:rsid w:val="00FA68FE"/>
    <w:rsid w:val="00FB1794"/>
    <w:rsid w:val="00FB1D75"/>
    <w:rsid w:val="00FB348A"/>
    <w:rsid w:val="00FC693F"/>
    <w:rsid w:val="00FD12F8"/>
    <w:rsid w:val="00FD416C"/>
    <w:rsid w:val="00FD4914"/>
    <w:rsid w:val="00FD6CAB"/>
    <w:rsid w:val="00FF077C"/>
    <w:rsid w:val="018343DB"/>
    <w:rsid w:val="01A10E98"/>
    <w:rsid w:val="01B68881"/>
    <w:rsid w:val="01E926D0"/>
    <w:rsid w:val="02B0623B"/>
    <w:rsid w:val="030D3DAC"/>
    <w:rsid w:val="042F2214"/>
    <w:rsid w:val="0834BCD0"/>
    <w:rsid w:val="08D93461"/>
    <w:rsid w:val="0A0DEAD6"/>
    <w:rsid w:val="0AB01524"/>
    <w:rsid w:val="0CB95228"/>
    <w:rsid w:val="0CC42C65"/>
    <w:rsid w:val="102793EE"/>
    <w:rsid w:val="10633CCC"/>
    <w:rsid w:val="11E032B2"/>
    <w:rsid w:val="131DB41A"/>
    <w:rsid w:val="1559214B"/>
    <w:rsid w:val="15670988"/>
    <w:rsid w:val="17E39B6F"/>
    <w:rsid w:val="1B8B4008"/>
    <w:rsid w:val="1F2E52FC"/>
    <w:rsid w:val="1F6C49DC"/>
    <w:rsid w:val="1F794E69"/>
    <w:rsid w:val="20A6582A"/>
    <w:rsid w:val="2137AD70"/>
    <w:rsid w:val="22062858"/>
    <w:rsid w:val="25D63B39"/>
    <w:rsid w:val="26848207"/>
    <w:rsid w:val="26E04E3A"/>
    <w:rsid w:val="27CFFE34"/>
    <w:rsid w:val="288B9611"/>
    <w:rsid w:val="28956552"/>
    <w:rsid w:val="2EB54679"/>
    <w:rsid w:val="3085F0C4"/>
    <w:rsid w:val="32373E60"/>
    <w:rsid w:val="333F6C80"/>
    <w:rsid w:val="33ED0E11"/>
    <w:rsid w:val="3430656E"/>
    <w:rsid w:val="3438F5EB"/>
    <w:rsid w:val="35E25ED2"/>
    <w:rsid w:val="374DBA0B"/>
    <w:rsid w:val="3766467A"/>
    <w:rsid w:val="3896250A"/>
    <w:rsid w:val="3A99B3A7"/>
    <w:rsid w:val="3BEDFA6D"/>
    <w:rsid w:val="3D6669D7"/>
    <w:rsid w:val="3DD49E61"/>
    <w:rsid w:val="3EFB53E2"/>
    <w:rsid w:val="402DECFC"/>
    <w:rsid w:val="4085731C"/>
    <w:rsid w:val="409BB1E3"/>
    <w:rsid w:val="412BBF5F"/>
    <w:rsid w:val="42BA2C21"/>
    <w:rsid w:val="42C4614E"/>
    <w:rsid w:val="42C9990A"/>
    <w:rsid w:val="44333CD6"/>
    <w:rsid w:val="44B16358"/>
    <w:rsid w:val="4950C333"/>
    <w:rsid w:val="4AFE4249"/>
    <w:rsid w:val="4D5A83C8"/>
    <w:rsid w:val="4D63E0BC"/>
    <w:rsid w:val="4E321163"/>
    <w:rsid w:val="4EFD382B"/>
    <w:rsid w:val="4FB2C297"/>
    <w:rsid w:val="50DB87B7"/>
    <w:rsid w:val="58757288"/>
    <w:rsid w:val="5877AC19"/>
    <w:rsid w:val="587BD03F"/>
    <w:rsid w:val="59751570"/>
    <w:rsid w:val="59CC4C02"/>
    <w:rsid w:val="5B2E88BD"/>
    <w:rsid w:val="5E771477"/>
    <w:rsid w:val="5ED175DF"/>
    <w:rsid w:val="60B4D876"/>
    <w:rsid w:val="62A30238"/>
    <w:rsid w:val="64329943"/>
    <w:rsid w:val="65FBCA59"/>
    <w:rsid w:val="66774F71"/>
    <w:rsid w:val="67BEFAAA"/>
    <w:rsid w:val="69E7ED15"/>
    <w:rsid w:val="6BB4BB17"/>
    <w:rsid w:val="6C0FCD5A"/>
    <w:rsid w:val="6CBFE1D2"/>
    <w:rsid w:val="6E59F7B3"/>
    <w:rsid w:val="6E8FE56C"/>
    <w:rsid w:val="72B0622B"/>
    <w:rsid w:val="75E6A1E5"/>
    <w:rsid w:val="788A6906"/>
    <w:rsid w:val="78A08FB0"/>
    <w:rsid w:val="7916EC5F"/>
    <w:rsid w:val="79590831"/>
    <w:rsid w:val="7997C66D"/>
    <w:rsid w:val="7A172008"/>
    <w:rsid w:val="7C1226D9"/>
    <w:rsid w:val="7F034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6A43D8"/>
  <w14:defaultImageDpi w14:val="300"/>
  <w15:docId w15:val="{A7466AF9-DD78-4042-ACF2-E767FE03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1C72B9"/>
    <w:rPr>
      <w:sz w:val="16"/>
      <w:szCs w:val="16"/>
    </w:rPr>
  </w:style>
  <w:style w:type="paragraph" w:styleId="CommentText">
    <w:name w:val="annotation text"/>
    <w:basedOn w:val="Normal"/>
    <w:link w:val="CommentTextChar"/>
    <w:uiPriority w:val="99"/>
    <w:unhideWhenUsed/>
    <w:rsid w:val="001C72B9"/>
    <w:pPr>
      <w:spacing w:line="240" w:lineRule="auto"/>
    </w:pPr>
    <w:rPr>
      <w:sz w:val="20"/>
      <w:szCs w:val="20"/>
    </w:rPr>
  </w:style>
  <w:style w:type="character" w:customStyle="1" w:styleId="CommentTextChar">
    <w:name w:val="Comment Text Char"/>
    <w:basedOn w:val="DefaultParagraphFont"/>
    <w:link w:val="CommentText"/>
    <w:uiPriority w:val="99"/>
    <w:rsid w:val="001C72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72B9"/>
    <w:rPr>
      <w:b/>
      <w:bCs/>
    </w:rPr>
  </w:style>
  <w:style w:type="character" w:customStyle="1" w:styleId="CommentSubjectChar">
    <w:name w:val="Comment Subject Char"/>
    <w:basedOn w:val="CommentTextChar"/>
    <w:link w:val="CommentSubject"/>
    <w:uiPriority w:val="99"/>
    <w:semiHidden/>
    <w:rsid w:val="001C72B9"/>
    <w:rPr>
      <w:rFonts w:ascii="Arial" w:hAnsi="Arial"/>
      <w:b/>
      <w:bCs/>
      <w:sz w:val="20"/>
      <w:szCs w:val="20"/>
    </w:rPr>
  </w:style>
  <w:style w:type="paragraph" w:styleId="Revision">
    <w:name w:val="Revision"/>
    <w:hidden/>
    <w:uiPriority w:val="99"/>
    <w:semiHidden/>
    <w:rsid w:val="00F55C09"/>
    <w:pPr>
      <w:spacing w:after="0" w:line="240" w:lineRule="auto"/>
    </w:pPr>
    <w:rPr>
      <w:rFonts w:ascii="Arial" w:hAnsi="Arial"/>
    </w:rPr>
  </w:style>
  <w:style w:type="character" w:styleId="Hyperlink">
    <w:name w:val="Hyperlink"/>
    <w:basedOn w:val="DefaultParagraphFont"/>
    <w:uiPriority w:val="99"/>
    <w:unhideWhenUsed/>
    <w:rsid w:val="00C105E4"/>
    <w:rPr>
      <w:color w:val="0000FF" w:themeColor="hyperlink"/>
      <w:u w:val="single"/>
    </w:rPr>
  </w:style>
  <w:style w:type="character" w:styleId="UnresolvedMention">
    <w:name w:val="Unresolved Mention"/>
    <w:basedOn w:val="DefaultParagraphFont"/>
    <w:uiPriority w:val="99"/>
    <w:semiHidden/>
    <w:unhideWhenUsed/>
    <w:rsid w:val="00C105E4"/>
    <w:rPr>
      <w:color w:val="605E5C"/>
      <w:shd w:val="clear" w:color="auto" w:fill="E1DFDD"/>
    </w:rPr>
  </w:style>
  <w:style w:type="paragraph" w:styleId="BalloonText">
    <w:name w:val="Balloon Text"/>
    <w:basedOn w:val="Normal"/>
    <w:link w:val="BalloonTextChar"/>
    <w:uiPriority w:val="99"/>
    <w:semiHidden/>
    <w:unhideWhenUsed/>
    <w:rsid w:val="00FD6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AB"/>
    <w:rPr>
      <w:rFonts w:ascii="Segoe UI" w:hAnsi="Segoe UI" w:cs="Segoe UI"/>
      <w:sz w:val="18"/>
      <w:szCs w:val="18"/>
    </w:rPr>
  </w:style>
  <w:style w:type="character" w:styleId="FollowedHyperlink">
    <w:name w:val="FollowedHyperlink"/>
    <w:basedOn w:val="DefaultParagraphFont"/>
    <w:uiPriority w:val="99"/>
    <w:semiHidden/>
    <w:unhideWhenUsed/>
    <w:rsid w:val="00FB17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1431">
      <w:bodyDiv w:val="1"/>
      <w:marLeft w:val="0"/>
      <w:marRight w:val="0"/>
      <w:marTop w:val="0"/>
      <w:marBottom w:val="0"/>
      <w:divBdr>
        <w:top w:val="none" w:sz="0" w:space="0" w:color="auto"/>
        <w:left w:val="none" w:sz="0" w:space="0" w:color="auto"/>
        <w:bottom w:val="none" w:sz="0" w:space="0" w:color="auto"/>
        <w:right w:val="none" w:sz="0" w:space="0" w:color="auto"/>
      </w:divBdr>
    </w:div>
    <w:div w:id="42339706">
      <w:bodyDiv w:val="1"/>
      <w:marLeft w:val="0"/>
      <w:marRight w:val="0"/>
      <w:marTop w:val="0"/>
      <w:marBottom w:val="0"/>
      <w:divBdr>
        <w:top w:val="none" w:sz="0" w:space="0" w:color="auto"/>
        <w:left w:val="none" w:sz="0" w:space="0" w:color="auto"/>
        <w:bottom w:val="none" w:sz="0" w:space="0" w:color="auto"/>
        <w:right w:val="none" w:sz="0" w:space="0" w:color="auto"/>
      </w:divBdr>
    </w:div>
    <w:div w:id="139614003">
      <w:bodyDiv w:val="1"/>
      <w:marLeft w:val="0"/>
      <w:marRight w:val="0"/>
      <w:marTop w:val="0"/>
      <w:marBottom w:val="0"/>
      <w:divBdr>
        <w:top w:val="none" w:sz="0" w:space="0" w:color="auto"/>
        <w:left w:val="none" w:sz="0" w:space="0" w:color="auto"/>
        <w:bottom w:val="none" w:sz="0" w:space="0" w:color="auto"/>
        <w:right w:val="none" w:sz="0" w:space="0" w:color="auto"/>
      </w:divBdr>
    </w:div>
    <w:div w:id="579877174">
      <w:bodyDiv w:val="1"/>
      <w:marLeft w:val="0"/>
      <w:marRight w:val="0"/>
      <w:marTop w:val="0"/>
      <w:marBottom w:val="0"/>
      <w:divBdr>
        <w:top w:val="none" w:sz="0" w:space="0" w:color="auto"/>
        <w:left w:val="none" w:sz="0" w:space="0" w:color="auto"/>
        <w:bottom w:val="none" w:sz="0" w:space="0" w:color="auto"/>
        <w:right w:val="none" w:sz="0" w:space="0" w:color="auto"/>
      </w:divBdr>
    </w:div>
    <w:div w:id="836581796">
      <w:bodyDiv w:val="1"/>
      <w:marLeft w:val="0"/>
      <w:marRight w:val="0"/>
      <w:marTop w:val="0"/>
      <w:marBottom w:val="0"/>
      <w:divBdr>
        <w:top w:val="none" w:sz="0" w:space="0" w:color="auto"/>
        <w:left w:val="none" w:sz="0" w:space="0" w:color="auto"/>
        <w:bottom w:val="none" w:sz="0" w:space="0" w:color="auto"/>
        <w:right w:val="none" w:sz="0" w:space="0" w:color="auto"/>
      </w:divBdr>
    </w:div>
    <w:div w:id="908997609">
      <w:bodyDiv w:val="1"/>
      <w:marLeft w:val="0"/>
      <w:marRight w:val="0"/>
      <w:marTop w:val="0"/>
      <w:marBottom w:val="0"/>
      <w:divBdr>
        <w:top w:val="none" w:sz="0" w:space="0" w:color="auto"/>
        <w:left w:val="none" w:sz="0" w:space="0" w:color="auto"/>
        <w:bottom w:val="none" w:sz="0" w:space="0" w:color="auto"/>
        <w:right w:val="none" w:sz="0" w:space="0" w:color="auto"/>
      </w:divBdr>
    </w:div>
    <w:div w:id="915017309">
      <w:bodyDiv w:val="1"/>
      <w:marLeft w:val="0"/>
      <w:marRight w:val="0"/>
      <w:marTop w:val="0"/>
      <w:marBottom w:val="0"/>
      <w:divBdr>
        <w:top w:val="none" w:sz="0" w:space="0" w:color="auto"/>
        <w:left w:val="none" w:sz="0" w:space="0" w:color="auto"/>
        <w:bottom w:val="none" w:sz="0" w:space="0" w:color="auto"/>
        <w:right w:val="none" w:sz="0" w:space="0" w:color="auto"/>
      </w:divBdr>
    </w:div>
    <w:div w:id="935021407">
      <w:bodyDiv w:val="1"/>
      <w:marLeft w:val="0"/>
      <w:marRight w:val="0"/>
      <w:marTop w:val="0"/>
      <w:marBottom w:val="0"/>
      <w:divBdr>
        <w:top w:val="none" w:sz="0" w:space="0" w:color="auto"/>
        <w:left w:val="none" w:sz="0" w:space="0" w:color="auto"/>
        <w:bottom w:val="none" w:sz="0" w:space="0" w:color="auto"/>
        <w:right w:val="none" w:sz="0" w:space="0" w:color="auto"/>
      </w:divBdr>
      <w:divsChild>
        <w:div w:id="1208223886">
          <w:marLeft w:val="0"/>
          <w:marRight w:val="0"/>
          <w:marTop w:val="0"/>
          <w:marBottom w:val="0"/>
          <w:divBdr>
            <w:top w:val="none" w:sz="0" w:space="0" w:color="auto"/>
            <w:left w:val="none" w:sz="0" w:space="0" w:color="auto"/>
            <w:bottom w:val="none" w:sz="0" w:space="0" w:color="auto"/>
            <w:right w:val="none" w:sz="0" w:space="0" w:color="auto"/>
          </w:divBdr>
          <w:divsChild>
            <w:div w:id="16900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72584">
      <w:bodyDiv w:val="1"/>
      <w:marLeft w:val="0"/>
      <w:marRight w:val="0"/>
      <w:marTop w:val="0"/>
      <w:marBottom w:val="0"/>
      <w:divBdr>
        <w:top w:val="none" w:sz="0" w:space="0" w:color="auto"/>
        <w:left w:val="none" w:sz="0" w:space="0" w:color="auto"/>
        <w:bottom w:val="none" w:sz="0" w:space="0" w:color="auto"/>
        <w:right w:val="none" w:sz="0" w:space="0" w:color="auto"/>
      </w:divBdr>
    </w:div>
    <w:div w:id="1187137715">
      <w:bodyDiv w:val="1"/>
      <w:marLeft w:val="0"/>
      <w:marRight w:val="0"/>
      <w:marTop w:val="0"/>
      <w:marBottom w:val="0"/>
      <w:divBdr>
        <w:top w:val="none" w:sz="0" w:space="0" w:color="auto"/>
        <w:left w:val="none" w:sz="0" w:space="0" w:color="auto"/>
        <w:bottom w:val="none" w:sz="0" w:space="0" w:color="auto"/>
        <w:right w:val="none" w:sz="0" w:space="0" w:color="auto"/>
      </w:divBdr>
      <w:divsChild>
        <w:div w:id="1093210460">
          <w:marLeft w:val="0"/>
          <w:marRight w:val="0"/>
          <w:marTop w:val="0"/>
          <w:marBottom w:val="0"/>
          <w:divBdr>
            <w:top w:val="none" w:sz="0" w:space="0" w:color="auto"/>
            <w:left w:val="none" w:sz="0" w:space="0" w:color="auto"/>
            <w:bottom w:val="none" w:sz="0" w:space="0" w:color="auto"/>
            <w:right w:val="none" w:sz="0" w:space="0" w:color="auto"/>
          </w:divBdr>
        </w:div>
        <w:div w:id="2121995583">
          <w:marLeft w:val="0"/>
          <w:marRight w:val="0"/>
          <w:marTop w:val="0"/>
          <w:marBottom w:val="0"/>
          <w:divBdr>
            <w:top w:val="none" w:sz="0" w:space="0" w:color="auto"/>
            <w:left w:val="none" w:sz="0" w:space="0" w:color="auto"/>
            <w:bottom w:val="none" w:sz="0" w:space="0" w:color="auto"/>
            <w:right w:val="none" w:sz="0" w:space="0" w:color="auto"/>
          </w:divBdr>
        </w:div>
        <w:div w:id="528491714">
          <w:marLeft w:val="0"/>
          <w:marRight w:val="0"/>
          <w:marTop w:val="0"/>
          <w:marBottom w:val="0"/>
          <w:divBdr>
            <w:top w:val="none" w:sz="0" w:space="0" w:color="auto"/>
            <w:left w:val="none" w:sz="0" w:space="0" w:color="auto"/>
            <w:bottom w:val="none" w:sz="0" w:space="0" w:color="auto"/>
            <w:right w:val="none" w:sz="0" w:space="0" w:color="auto"/>
          </w:divBdr>
        </w:div>
        <w:div w:id="1065646393">
          <w:marLeft w:val="0"/>
          <w:marRight w:val="0"/>
          <w:marTop w:val="0"/>
          <w:marBottom w:val="0"/>
          <w:divBdr>
            <w:top w:val="none" w:sz="0" w:space="0" w:color="auto"/>
            <w:left w:val="none" w:sz="0" w:space="0" w:color="auto"/>
            <w:bottom w:val="none" w:sz="0" w:space="0" w:color="auto"/>
            <w:right w:val="none" w:sz="0" w:space="0" w:color="auto"/>
          </w:divBdr>
        </w:div>
        <w:div w:id="1057705580">
          <w:marLeft w:val="0"/>
          <w:marRight w:val="0"/>
          <w:marTop w:val="0"/>
          <w:marBottom w:val="0"/>
          <w:divBdr>
            <w:top w:val="none" w:sz="0" w:space="0" w:color="auto"/>
            <w:left w:val="none" w:sz="0" w:space="0" w:color="auto"/>
            <w:bottom w:val="none" w:sz="0" w:space="0" w:color="auto"/>
            <w:right w:val="none" w:sz="0" w:space="0" w:color="auto"/>
          </w:divBdr>
        </w:div>
        <w:div w:id="822283160">
          <w:marLeft w:val="0"/>
          <w:marRight w:val="0"/>
          <w:marTop w:val="0"/>
          <w:marBottom w:val="0"/>
          <w:divBdr>
            <w:top w:val="none" w:sz="0" w:space="0" w:color="auto"/>
            <w:left w:val="none" w:sz="0" w:space="0" w:color="auto"/>
            <w:bottom w:val="none" w:sz="0" w:space="0" w:color="auto"/>
            <w:right w:val="none" w:sz="0" w:space="0" w:color="auto"/>
          </w:divBdr>
        </w:div>
        <w:div w:id="733551641">
          <w:marLeft w:val="0"/>
          <w:marRight w:val="0"/>
          <w:marTop w:val="0"/>
          <w:marBottom w:val="0"/>
          <w:divBdr>
            <w:top w:val="none" w:sz="0" w:space="0" w:color="auto"/>
            <w:left w:val="none" w:sz="0" w:space="0" w:color="auto"/>
            <w:bottom w:val="none" w:sz="0" w:space="0" w:color="auto"/>
            <w:right w:val="none" w:sz="0" w:space="0" w:color="auto"/>
          </w:divBdr>
        </w:div>
        <w:div w:id="132674560">
          <w:marLeft w:val="0"/>
          <w:marRight w:val="0"/>
          <w:marTop w:val="0"/>
          <w:marBottom w:val="0"/>
          <w:divBdr>
            <w:top w:val="none" w:sz="0" w:space="0" w:color="auto"/>
            <w:left w:val="none" w:sz="0" w:space="0" w:color="auto"/>
            <w:bottom w:val="none" w:sz="0" w:space="0" w:color="auto"/>
            <w:right w:val="none" w:sz="0" w:space="0" w:color="auto"/>
          </w:divBdr>
        </w:div>
      </w:divsChild>
    </w:div>
    <w:div w:id="1237520885">
      <w:bodyDiv w:val="1"/>
      <w:marLeft w:val="0"/>
      <w:marRight w:val="0"/>
      <w:marTop w:val="0"/>
      <w:marBottom w:val="0"/>
      <w:divBdr>
        <w:top w:val="none" w:sz="0" w:space="0" w:color="auto"/>
        <w:left w:val="none" w:sz="0" w:space="0" w:color="auto"/>
        <w:bottom w:val="none" w:sz="0" w:space="0" w:color="auto"/>
        <w:right w:val="none" w:sz="0" w:space="0" w:color="auto"/>
      </w:divBdr>
    </w:div>
    <w:div w:id="1423257323">
      <w:bodyDiv w:val="1"/>
      <w:marLeft w:val="0"/>
      <w:marRight w:val="0"/>
      <w:marTop w:val="0"/>
      <w:marBottom w:val="0"/>
      <w:divBdr>
        <w:top w:val="none" w:sz="0" w:space="0" w:color="auto"/>
        <w:left w:val="none" w:sz="0" w:space="0" w:color="auto"/>
        <w:bottom w:val="none" w:sz="0" w:space="0" w:color="auto"/>
        <w:right w:val="none" w:sz="0" w:space="0" w:color="auto"/>
      </w:divBdr>
    </w:div>
    <w:div w:id="1576090842">
      <w:bodyDiv w:val="1"/>
      <w:marLeft w:val="0"/>
      <w:marRight w:val="0"/>
      <w:marTop w:val="0"/>
      <w:marBottom w:val="0"/>
      <w:divBdr>
        <w:top w:val="none" w:sz="0" w:space="0" w:color="auto"/>
        <w:left w:val="none" w:sz="0" w:space="0" w:color="auto"/>
        <w:bottom w:val="none" w:sz="0" w:space="0" w:color="auto"/>
        <w:right w:val="none" w:sz="0" w:space="0" w:color="auto"/>
      </w:divBdr>
    </w:div>
    <w:div w:id="1699158135">
      <w:bodyDiv w:val="1"/>
      <w:marLeft w:val="0"/>
      <w:marRight w:val="0"/>
      <w:marTop w:val="0"/>
      <w:marBottom w:val="0"/>
      <w:divBdr>
        <w:top w:val="none" w:sz="0" w:space="0" w:color="auto"/>
        <w:left w:val="none" w:sz="0" w:space="0" w:color="auto"/>
        <w:bottom w:val="none" w:sz="0" w:space="0" w:color="auto"/>
        <w:right w:val="none" w:sz="0" w:space="0" w:color="auto"/>
      </w:divBdr>
    </w:div>
    <w:div w:id="1840726821">
      <w:bodyDiv w:val="1"/>
      <w:marLeft w:val="0"/>
      <w:marRight w:val="0"/>
      <w:marTop w:val="0"/>
      <w:marBottom w:val="0"/>
      <w:divBdr>
        <w:top w:val="none" w:sz="0" w:space="0" w:color="auto"/>
        <w:left w:val="none" w:sz="0" w:space="0" w:color="auto"/>
        <w:bottom w:val="none" w:sz="0" w:space="0" w:color="auto"/>
        <w:right w:val="none" w:sz="0" w:space="0" w:color="auto"/>
      </w:divBdr>
    </w:div>
    <w:div w:id="2101439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terknowledgehub.org/group/79/abou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wp.org/en/GWP-Mediterranea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wp.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F6F10669063478E5D22195F87F8C8" ma:contentTypeVersion="13" ma:contentTypeDescription="Create a new document." ma:contentTypeScope="" ma:versionID="66ea4bf5895496f30a2290a96658580c">
  <xsd:schema xmlns:xsd="http://www.w3.org/2001/XMLSchema" xmlns:xs="http://www.w3.org/2001/XMLSchema" xmlns:p="http://schemas.microsoft.com/office/2006/metadata/properties" xmlns:ns2="6d74ee3f-414d-468a-934f-c19974c1cf51" xmlns:ns3="f5b4d042-dad1-48be-9f2e-c97378c2c7a6" targetNamespace="http://schemas.microsoft.com/office/2006/metadata/properties" ma:root="true" ma:fieldsID="f4320fbc0d21c492e23d2ec98ff00b88" ns2:_="" ns3:_="">
    <xsd:import namespace="6d74ee3f-414d-468a-934f-c19974c1cf51"/>
    <xsd:import namespace="f5b4d042-dad1-48be-9f2e-c97378c2c7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4ee3f-414d-468a-934f-c19974c1c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4d042-dad1-48be-9f2e-c97378c2c7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35bc98-cac2-4093-9bdf-b493f2911d13}" ma:internalName="TaxCatchAll" ma:showField="CatchAllData" ma:web="f5b4d042-dad1-48be-9f2e-c97378c2c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74ee3f-414d-468a-934f-c19974c1cf51">
      <Terms xmlns="http://schemas.microsoft.com/office/infopath/2007/PartnerControls"/>
    </lcf76f155ced4ddcb4097134ff3c332f>
    <TaxCatchAll xmlns="f5b4d042-dad1-48be-9f2e-c97378c2c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D76D-7975-4E05-9781-1796CC9EF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4ee3f-414d-468a-934f-c19974c1cf51"/>
    <ds:schemaRef ds:uri="f5b4d042-dad1-48be-9f2e-c97378c2c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DABC4-A20B-4AA2-BAD8-C0F074A31B40}">
  <ds:schemaRefs>
    <ds:schemaRef ds:uri="http://schemas.microsoft.com/office/2006/metadata/properties"/>
    <ds:schemaRef ds:uri="http://schemas.microsoft.com/office/infopath/2007/PartnerControls"/>
    <ds:schemaRef ds:uri="6d74ee3f-414d-468a-934f-c19974c1cf51"/>
    <ds:schemaRef ds:uri="f5b4d042-dad1-48be-9f2e-c97378c2c7a6"/>
  </ds:schemaRefs>
</ds:datastoreItem>
</file>

<file path=customXml/itemProps3.xml><?xml version="1.0" encoding="utf-8"?>
<ds:datastoreItem xmlns:ds="http://schemas.openxmlformats.org/officeDocument/2006/customXml" ds:itemID="{3E31A44C-74E6-47CB-9E49-40816D2C37A9}">
  <ds:schemaRefs>
    <ds:schemaRef ds:uri="http://schemas.microsoft.com/sharepoint/v3/contenttype/forms"/>
  </ds:schemaRefs>
</ds:datastoreItem>
</file>

<file path=customXml/itemProps4.xml><?xml version="1.0" encoding="utf-8"?>
<ds:datastoreItem xmlns:ds="http://schemas.openxmlformats.org/officeDocument/2006/customXml" ds:itemID="{83511F6D-302B-4CAD-B386-A464DD93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Novak Cadjenovic (GWP-Med)</cp:lastModifiedBy>
  <cp:revision>2</cp:revision>
  <dcterms:created xsi:type="dcterms:W3CDTF">2026-04-06T14:04:00Z</dcterms:created>
  <dcterms:modified xsi:type="dcterms:W3CDTF">2026-04-06T14:04:00Z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0x0101003BFF6F10669063478E5D22195F87F8C8</vt:lpwstr>
  </property>
  <property fmtid="{D5CDD505-2E9C-101B-9397-08002B2CF9AE}" pid="3" name="MediaServiceImageTags">
    <vt:lpwstr/>
  </property>
</Properties>
</file>